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#1、#2机组安装锅炉壁温测点项目报价单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#1、#2机组安装锅炉壁温测点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#1、#2机组安装锅炉壁温测点</w:t>
            </w:r>
            <w:r>
              <w:rPr>
                <w:rFonts w:hint="eastAsia" w:ascii="仿宋_GB2312" w:hAnsi="仿宋_GB2312" w:eastAsia="仿宋_GB2312" w:cs="仿宋_GB2312"/>
                <w:bCs/>
                <w:color w:val="auto"/>
                <w:sz w:val="24"/>
                <w:highlight w:val="none"/>
                <w:lang w:val="en-US" w:eastAsia="zh-CN"/>
              </w:rPr>
              <w:t>项目内容的全部费用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color w:val="FF0000"/>
                <w:sz w:val="24"/>
                <w:highlight w:val="none"/>
              </w:rPr>
              <w:t>#1、#2机组安装锅炉壁温测点</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color w:val="FF0000"/>
          <w:sz w:val="24"/>
          <w:lang w:val="en-US" w:eastAsia="zh-CN"/>
        </w:rPr>
        <w:t>综合含税总价中包含安全文明施工费（该费用为固定价，为综合含税总报价的2.5%）</w:t>
      </w:r>
      <w:r>
        <w:rPr>
          <w:rFonts w:hint="eastAsia" w:ascii="仿宋_GB2312" w:hAnsi="仿宋_GB2312" w:eastAsia="仿宋_GB2312" w:cs="仿宋_GB2312"/>
          <w:sz w:val="24"/>
          <w:lang w:val="en-US" w:eastAsia="zh-CN"/>
        </w:rPr>
        <w:t>，合同履行期间，乙方应按照此项报价足额投入安全文明施工费。</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b w:val="0"/>
          <w:bCs w:val="0"/>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keepNext w:val="0"/>
        <w:keepLines w:val="0"/>
        <w:pageBreakBefore w:val="0"/>
        <w:widowControl w:val="0"/>
        <w:numPr>
          <w:ilvl w:val="-1"/>
          <w:numId w:val="0"/>
        </w:numPr>
        <w:kinsoku/>
        <w:wordWrap/>
        <w:overflowPunct/>
        <w:topLinePunct w:val="0"/>
        <w:autoSpaceDE/>
        <w:autoSpaceDN/>
        <w:bidi w:val="0"/>
        <w:snapToGrid/>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项目工作范围同技术</w:t>
      </w:r>
      <w:r>
        <w:rPr>
          <w:rFonts w:hint="eastAsia" w:ascii="仿宋_GB2312" w:hAnsi="仿宋_GB2312" w:eastAsia="仿宋_GB2312" w:cs="仿宋_GB2312"/>
          <w:sz w:val="24"/>
          <w:lang w:eastAsia="zh-CN"/>
        </w:rPr>
        <w:t>规范书</w:t>
      </w:r>
      <w:r>
        <w:rPr>
          <w:rFonts w:hint="eastAsia" w:ascii="仿宋_GB2312" w:hAnsi="仿宋_GB2312" w:eastAsia="仿宋_GB2312" w:cs="仿宋_GB2312"/>
          <w:sz w:val="24"/>
        </w:rPr>
        <w:t>。</w:t>
      </w:r>
    </w:p>
    <w:p>
      <w:pPr>
        <w:keepNext w:val="0"/>
        <w:keepLines w:val="0"/>
        <w:pageBreakBefore w:val="0"/>
        <w:widowControl w:val="0"/>
        <w:numPr>
          <w:ilvl w:val="0"/>
          <w:numId w:val="0"/>
        </w:numPr>
        <w:kinsoku/>
        <w:wordWrap/>
        <w:overflowPunct/>
        <w:topLinePunct w:val="0"/>
        <w:autoSpaceDE/>
        <w:autoSpaceDN/>
        <w:bidi w:val="0"/>
        <w:snapToGrid/>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4、法定代表人亲自报价的，应提供法定代表人身份证明，非报价单位法定代表人亲自报价的，应提供授权委托书（经法定代表人签字并加盖公司公章，授权范围应至少包括报价、谈判、签订合同）。</w:t>
      </w:r>
    </w:p>
    <w:p>
      <w:pPr>
        <w:pStyle w:val="9"/>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5、本报价单标注的实质性条款为项目合同的主要条款，若中选，报价人不得要求对实质性条款作出实质性修改，否则川南发电公司有权取消其中选资格。</w:t>
      </w:r>
    </w:p>
    <w:p>
      <w:pPr>
        <w:pStyle w:val="9"/>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sz w:val="24"/>
          <w:lang w:val="en-US" w:eastAsia="zh-CN"/>
        </w:rPr>
        <w:t>报价人未按要求比例填报安全文明施工费的，应在谈判中进行调整，经谈判仍不调整的，川南发电公司有权废除其报价资格。</w:t>
      </w:r>
    </w:p>
    <w:p>
      <w:pPr>
        <w:keepNext w:val="0"/>
        <w:keepLines w:val="0"/>
        <w:pageBreakBefore w:val="0"/>
        <w:widowControl w:val="0"/>
        <w:numPr>
          <w:ilvl w:val="0"/>
          <w:numId w:val="1"/>
        </w:numPr>
        <w:kinsoku/>
        <w:wordWrap/>
        <w:overflowPunct/>
        <w:topLinePunct w:val="0"/>
        <w:autoSpaceDE/>
        <w:autoSpaceDN/>
        <w:bidi w:val="0"/>
        <w:snapToGrid/>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报价保证金</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报价保证金为¥0.6万元（陆仟元整），到账截止时间为2024年4月26</w:t>
      </w:r>
      <w:bookmarkStart w:id="11" w:name="_GoBack"/>
      <w:bookmarkEnd w:id="11"/>
      <w:r>
        <w:rPr>
          <w:rFonts w:hint="eastAsia" w:ascii="仿宋_GB2312" w:hAnsi="仿宋_GB2312" w:eastAsia="仿宋_GB2312" w:cs="仿宋_GB2312"/>
          <w:kern w:val="2"/>
          <w:sz w:val="24"/>
          <w:szCs w:val="24"/>
          <w:lang w:val="en-US" w:eastAsia="zh-CN" w:bidi="ar-SA"/>
        </w:rPr>
        <w:t>日10:00，报价保证金应在到账截止时间前存入川南发电公司基本账户。</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户名:四川泸州川南发电有限责任公司 </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开户银行：工行泸州江阳支行</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账号：2304343119122102403</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报价人须将报价保证金存入以上账户，非报价人账户存入的，川南发电公司将视为未提交报价保证金。</w:t>
      </w:r>
    </w:p>
    <w:p>
      <w:pPr>
        <w:pStyle w:val="4"/>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川南发电公司在与中选单位签订合同且履约保证金（或保函）已提交后30日内退还中选及未中选单位报价保证金（无息）。中选单位不与川南发电公司签订书面合同或签订书面合同过程中对项目实质性条款提出变更的，川南发电公司有权按照项目评审排名选择与下一顺位报价人签订书面合同或重新组织采购。</w:t>
      </w:r>
    </w:p>
    <w:p>
      <w:pPr>
        <w:pStyle w:val="4"/>
        <w:keepNext w:val="0"/>
        <w:keepLines w:val="0"/>
        <w:pageBreakBefore w:val="0"/>
        <w:widowControl w:val="0"/>
        <w:numPr>
          <w:ilvl w:val="0"/>
          <w:numId w:val="0"/>
        </w:numPr>
        <w:kinsoku/>
        <w:wordWrap/>
        <w:overflowPunct/>
        <w:topLinePunct w:val="0"/>
        <w:autoSpaceDE/>
        <w:autoSpaceDN/>
        <w:bidi w:val="0"/>
        <w:snapToGrid/>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1.1本项目书面合同签订后，乙方向甲方开具合同含税金额的10%的收据后30日内，甲方向乙方支付合同金额10%的预付款（含项目的安全文明施工费）；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1.2合同项目全部竣工验收合格，乙方向甲方提交</w:t>
      </w:r>
      <w:r>
        <w:rPr>
          <w:rFonts w:hint="eastAsia" w:ascii="仿宋_GB2312" w:hAnsi="仿宋_GB2312" w:eastAsia="仿宋_GB2312" w:cs="仿宋_GB2312"/>
          <w:sz w:val="24"/>
          <w:lang w:eastAsia="zh-CN"/>
        </w:rPr>
        <w:t>付款申请单</w:t>
      </w:r>
      <w:r>
        <w:rPr>
          <w:rFonts w:hint="eastAsia" w:ascii="仿宋_GB2312" w:hAnsi="仿宋_GB2312" w:eastAsia="仿宋_GB2312" w:cs="仿宋_GB2312"/>
          <w:sz w:val="24"/>
          <w:szCs w:val="24"/>
          <w:lang w:val="en-US" w:eastAsia="zh-CN"/>
        </w:rPr>
        <w:t>和开具合同金额100%的增值税专用发票后的30日内，甲方向乙方支付至合同金额的90％；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_GB2312" w:hAnsi="仿宋_GB2312" w:eastAsia="仿宋_GB2312" w:cs="仿宋_GB2312"/>
          <w:sz w:val="24"/>
          <w:szCs w:val="24"/>
          <w:lang w:val="en-US" w:eastAsia="zh-CN"/>
        </w:rPr>
        <w:t>1.3合同金额剩余10%为质保金，质保期满6个月（自安装后首次并网之日起算），甲方向乙方提交付款申请并开具合同金额10%的收据后30日内，甲方向乙方支付质保金。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保温拆安费、脚手架搭拆费、维修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pStyle w:val="4"/>
        <w:keepNext w:val="0"/>
        <w:keepLines w:val="0"/>
        <w:pageBreakBefore w:val="0"/>
        <w:widowControl w:val="0"/>
        <w:kinsoku/>
        <w:wordWrap/>
        <w:overflowPunct/>
        <w:topLinePunct w:val="0"/>
        <w:autoSpaceDE/>
        <w:autoSpaceDN/>
        <w:bidi w:val="0"/>
        <w:snapToGrid/>
        <w:spacing w:line="360" w:lineRule="auto"/>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1.履约保证金额为中选人含税总报价的10%，合同签订后21日之内，乙方应将履约保证金转入甲方账户。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仿宋_GB2312" w:hAnsi="仿宋_GB2312" w:eastAsia="仿宋_GB2312" w:cs="仿宋_GB2312"/>
          <w:sz w:val="24"/>
          <w:szCs w:val="24"/>
          <w:lang w:val="en-US" w:eastAsia="zh-CN"/>
        </w:rPr>
        <w:t>4.如果乙方未能履行合同并给甲方造成损失,那么履约保证金将作为对这一损失的补偿而支付给甲方。</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w:t>
      </w:r>
      <w:r>
        <w:rPr>
          <w:rFonts w:hint="eastAsia" w:ascii="仿宋_GB2312" w:hAnsi="仿宋_GB2312" w:eastAsia="仿宋_GB2312" w:cs="仿宋_GB2312"/>
          <w:sz w:val="24"/>
          <w:lang w:eastAsia="zh-CN"/>
        </w:rPr>
        <w:t>的所有安装施工</w:t>
      </w:r>
      <w:r>
        <w:rPr>
          <w:rFonts w:hint="eastAsia" w:ascii="仿宋_GB2312" w:hAnsi="Arial" w:eastAsia="仿宋_GB2312" w:cs="Arial"/>
          <w:kern w:val="0"/>
          <w:szCs w:val="21"/>
        </w:rPr>
        <w:t>检修</w:t>
      </w:r>
      <w:r>
        <w:rPr>
          <w:rFonts w:hint="eastAsia" w:ascii="仿宋_GB2312" w:hAnsi="仿宋_GB2312" w:eastAsia="仿宋_GB2312" w:cs="仿宋_GB2312"/>
          <w:sz w:val="24"/>
          <w:lang w:eastAsia="zh-CN"/>
        </w:rPr>
        <w:t>工期：#1机组检修工期</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lang w:eastAsia="zh-CN"/>
        </w:rPr>
        <w:t>天，计划时间为202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年</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月至</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lang w:eastAsia="zh-CN"/>
        </w:rPr>
        <w:t>月；#2机组检修工期</w:t>
      </w:r>
      <w:r>
        <w:rPr>
          <w:rFonts w:hint="eastAsia" w:ascii="仿宋_GB2312" w:hAnsi="仿宋_GB2312" w:eastAsia="仿宋_GB2312" w:cs="仿宋_GB2312"/>
          <w:sz w:val="24"/>
          <w:lang w:val="en-US" w:eastAsia="zh-CN"/>
        </w:rPr>
        <w:t>30</w:t>
      </w:r>
      <w:r>
        <w:rPr>
          <w:rFonts w:hint="eastAsia" w:ascii="仿宋_GB2312" w:hAnsi="仿宋_GB2312" w:eastAsia="仿宋_GB2312" w:cs="仿宋_GB2312"/>
          <w:sz w:val="24"/>
          <w:lang w:eastAsia="zh-CN"/>
        </w:rPr>
        <w:t>天，计划时间为202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年</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lang w:eastAsia="zh-CN"/>
        </w:rPr>
        <w:t>月至</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lang w:eastAsia="zh-CN"/>
        </w:rPr>
        <w:t>月，</w:t>
      </w:r>
      <w:r>
        <w:rPr>
          <w:rFonts w:hint="eastAsia" w:ascii="仿宋_GB2312" w:hAnsi="仿宋_GB2312" w:eastAsia="仿宋_GB2312" w:cs="仿宋_GB2312"/>
          <w:sz w:val="24"/>
          <w:lang w:val="en-US" w:eastAsia="zh-CN"/>
        </w:rPr>
        <w:t>承包方施工力能组织必须满足发包方检修工期要求，具体</w:t>
      </w:r>
      <w:r>
        <w:rPr>
          <w:rFonts w:hint="eastAsia" w:ascii="仿宋_GB2312" w:hAnsi="仿宋_GB2312" w:eastAsia="仿宋_GB2312" w:cs="仿宋_GB2312"/>
          <w:sz w:val="24"/>
          <w:szCs w:val="24"/>
          <w:lang w:val="en-US" w:eastAsia="zh-CN"/>
        </w:rPr>
        <w:t>施工时间</w:t>
      </w:r>
      <w:r>
        <w:rPr>
          <w:rFonts w:hint="eastAsia" w:ascii="仿宋_GB2312" w:hAnsi="仿宋_GB2312" w:eastAsia="仿宋_GB2312" w:cs="仿宋_GB2312"/>
          <w:sz w:val="24"/>
          <w:szCs w:val="24"/>
          <w:lang w:eastAsia="zh-CN"/>
        </w:rPr>
        <w:t>以甲方提前通知为准，乙方需无条件满足甲方对工期的要求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2.工作范围及工作要求：锅炉壁温测温计和温度采集前置机由甲方提供，乙方应按照技术规范书的规定进行施工，确保甲方可通过安装的壁温测温计和温度采集前置机监视#1、#2机组锅炉中部管屏温度数据。</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3.施工人员要求：详见技术规范书。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keepNext w:val="0"/>
        <w:keepLines w:val="0"/>
        <w:pageBreakBefore w:val="0"/>
        <w:widowControl w:val="0"/>
        <w:kinsoku/>
        <w:wordWrap/>
        <w:overflowPunct/>
        <w:topLinePunct w:val="0"/>
        <w:autoSpaceDE/>
        <w:autoSpaceDN/>
        <w:bidi w:val="0"/>
        <w:snapToGrid/>
        <w:spacing w:line="360" w:lineRule="auto"/>
        <w:ind w:firstLine="481"/>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4.其他违约责任详见技术规范书。</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六、报价纪律</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报价人不得相互串通报价，不得排挤其他报价人公平竞争，不得干扰川南发电公司的评审谈判工作，不得以任何形式打探和搜集评审谈判情况，不得与川南发电公司、同类项目单位串通报价，损害国家利益，社会公共利益或者他人利益。</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 xml:space="preserve">报价人只能通过竞争性谈判公告允许的方式向川南发电公司送达报价文件。 </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严禁报价人向川南发电公司及其工作人员、同类项目单位及其工作人员以行贿的手段谋取中选。</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七、评选规则</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1.报价截止后，川南发电公司将按公司非招标采购相关规定组织对报价人资质进行符合性审查（评审小组共5人,由竞争性谈判人的技术、经济专家组成，另设监督组1人），审查后确定通过符合性审查的报价人报价具有竞争性的，川南发电将对通过符合性审查的报价人的最终价格由低到高排序，价低者优先中选。</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2.若评审过程中发现报价人出现违反报价纪律的行为的，川南发电公司有权废除其报价资格并有权将违纪方列入报价黑名单，被列入报价黑名单的供应商一年内（自违纪行为被发现之日起算）不得参与川南发电公司所有项目的报价。</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中选人收到川南发电公司中选通知书的，应当在</w:t>
      </w:r>
      <w:r>
        <w:rPr>
          <w:rFonts w:hint="eastAsia" w:ascii="仿宋_GB2312" w:hAnsi="仿宋_GB2312" w:eastAsia="仿宋_GB2312" w:cs="仿宋_GB2312"/>
          <w:b w:val="0"/>
          <w:bCs w:val="0"/>
          <w:sz w:val="24"/>
          <w:szCs w:val="24"/>
          <w:lang w:val="en-US" w:eastAsia="zh-CN"/>
        </w:rPr>
        <w:t>30日内</w:t>
      </w:r>
      <w:r>
        <w:rPr>
          <w:rFonts w:hint="eastAsia" w:ascii="仿宋_GB2312" w:hAnsi="仿宋_GB2312" w:eastAsia="仿宋_GB2312" w:cs="仿宋_GB2312"/>
          <w:b w:val="0"/>
          <w:bCs w:val="0"/>
          <w:sz w:val="24"/>
          <w:szCs w:val="24"/>
          <w:lang w:eastAsia="zh-CN"/>
        </w:rPr>
        <w:t>与川南发电公司签订项目书面合同，且不得对项目合同实质性条款作出实质性修改，否则川南发电公司有权取消其中选资格，川南发电公司将根据项目情况和评审结果确定下一顺位报价人为中选人或重新组织项目采购。</w:t>
      </w:r>
    </w:p>
    <w:p>
      <w:pPr>
        <w:keepNext w:val="0"/>
        <w:keepLines w:val="0"/>
        <w:pageBreakBefore w:val="0"/>
        <w:widowControl w:val="0"/>
        <w:kinsoku/>
        <w:wordWrap/>
        <w:overflowPunct/>
        <w:topLinePunct w:val="0"/>
        <w:autoSpaceDE/>
        <w:autoSpaceDN/>
        <w:bidi w:val="0"/>
        <w:snapToGrid/>
        <w:spacing w:line="360" w:lineRule="auto"/>
        <w:ind w:firstLine="0" w:firstLineChars="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八、其他说明（乙方填写）：</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p>
    <w:p>
      <w:pPr>
        <w:keepNext w:val="0"/>
        <w:keepLines w:val="0"/>
        <w:pageBreakBefore w:val="0"/>
        <w:widowControl w:val="0"/>
        <w:kinsoku/>
        <w:wordWrap/>
        <w:overflowPunct/>
        <w:topLinePunct w:val="0"/>
        <w:autoSpaceDE/>
        <w:autoSpaceDN/>
        <w:bidi w:val="0"/>
        <w:snapToGrid/>
        <w:spacing w:line="360" w:lineRule="auto"/>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 </w:t>
      </w:r>
    </w:p>
    <w:p>
      <w:pPr>
        <w:keepNext w:val="0"/>
        <w:keepLines w:val="0"/>
        <w:pageBreakBefore w:val="0"/>
        <w:widowControl w:val="0"/>
        <w:kinsoku/>
        <w:wordWrap/>
        <w:overflowPunct/>
        <w:topLinePunct w:val="0"/>
        <w:autoSpaceDE/>
        <w:autoSpaceDN/>
        <w:bidi w:val="0"/>
        <w:snapToGrid/>
        <w:spacing w:line="360" w:lineRule="auto"/>
        <w:ind w:firstLine="5040" w:firstLineChars="2100"/>
        <w:jc w:val="center"/>
        <w:rPr>
          <w:rFonts w:hint="eastAsia" w:ascii="仿宋_GB2312" w:hAnsi="仿宋_GB2312" w:eastAsia="仿宋_GB2312" w:cs="仿宋_GB2312"/>
          <w:sz w:val="24"/>
        </w:rPr>
      </w:pPr>
      <w:r>
        <w:rPr>
          <w:rFonts w:hint="eastAsia" w:ascii="仿宋_GB2312" w:hAnsi="仿宋_GB2312" w:eastAsia="仿宋_GB2312" w:cs="仿宋_GB2312"/>
          <w:sz w:val="24"/>
          <w:szCs w:val="24"/>
          <w:lang w:val="en-US" w:eastAsia="zh-CN"/>
        </w:rPr>
        <w:t xml:space="preserve">年    月    日   </w:t>
      </w:r>
    </w:p>
    <w:p>
      <w:pPr>
        <w:pStyle w:val="9"/>
        <w:keepNext w:val="0"/>
        <w:keepLines w:val="0"/>
        <w:pageBreakBefore w:val="0"/>
        <w:widowControl w:val="0"/>
        <w:kinsoku/>
        <w:wordWrap/>
        <w:overflowPunct/>
        <w:topLinePunct w:val="0"/>
        <w:autoSpaceDE/>
        <w:autoSpaceDN/>
        <w:bidi w:val="0"/>
        <w:snapToGrid/>
        <w:spacing w:line="576" w:lineRule="exact"/>
        <w:rPr>
          <w:rFonts w:hint="eastAsia" w:ascii="仿宋_GB2312" w:hAnsi="仿宋_GB2312" w:eastAsia="仿宋_GB2312" w:cs="仿宋_GB2312"/>
          <w:sz w:val="24"/>
        </w:rPr>
      </w:pPr>
    </w:p>
    <w:p>
      <w:pPr>
        <w:pStyle w:val="9"/>
        <w:keepNext w:val="0"/>
        <w:keepLines w:val="0"/>
        <w:pageBreakBefore w:val="0"/>
        <w:widowControl w:val="0"/>
        <w:kinsoku/>
        <w:wordWrap/>
        <w:overflowPunct/>
        <w:topLinePunct w:val="0"/>
        <w:autoSpaceDE/>
        <w:autoSpaceDN/>
        <w:bidi w:val="0"/>
        <w:snapToGrid/>
        <w:spacing w:line="576" w:lineRule="exact"/>
        <w:rPr>
          <w:rFonts w:hint="eastAsia" w:ascii="仿宋_GB2312" w:hAnsi="仿宋_GB2312" w:eastAsia="仿宋_GB2312" w:cs="仿宋_GB2312"/>
          <w:sz w:val="24"/>
        </w:rPr>
      </w:pPr>
    </w:p>
    <w:p>
      <w:pPr>
        <w:pStyle w:val="9"/>
        <w:rPr>
          <w:rFonts w:hint="eastAsia"/>
          <w:lang w:val="zh-CN"/>
        </w:rPr>
      </w:pPr>
    </w:p>
    <w:p>
      <w:pPr>
        <w:pStyle w:val="9"/>
        <w:rPr>
          <w:rFonts w:hint="eastAsia"/>
          <w:lang w:val="zh-CN"/>
        </w:rPr>
      </w:pPr>
    </w:p>
    <w:p>
      <w:pPr>
        <w:adjustRightInd/>
        <w:snapToGrid/>
        <w:spacing w:line="240" w:lineRule="auto"/>
        <w:jc w:val="left"/>
        <w:outlineLvl w:val="9"/>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送达</w:t>
      </w: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中选后合同及合同履行资料邮寄地址</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none"/>
        </w:rPr>
        <w:t>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626700"/>
            <w:bookmarkStart w:id="1" w:name="_Toc466443899"/>
            <w:bookmarkStart w:id="2" w:name="_Toc466624757"/>
            <w:bookmarkStart w:id="3" w:name="_Toc460953405"/>
            <w:bookmarkStart w:id="4" w:name="_Toc460953751"/>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6626701"/>
            <w:bookmarkStart w:id="6" w:name="_Toc460953752"/>
            <w:bookmarkStart w:id="7" w:name="_Toc460953406"/>
            <w:bookmarkStart w:id="8" w:name="_Toc466443900"/>
            <w:bookmarkStart w:id="9" w:name="_Toc466624758"/>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pStyle w:val="9"/>
        <w:ind w:firstLine="3640" w:firstLineChars="1400"/>
        <w:rPr>
          <w:rFonts w:hint="eastAsia"/>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6840" w:firstLineChars="28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pStyle w:val="9"/>
        <w:rPr>
          <w:rFonts w:hint="eastAsia" w:ascii="仿宋_GB2312" w:hAnsi="仿宋_GB2312" w:eastAsia="仿宋_GB2312" w:cs="仿宋_GB2312"/>
          <w:bCs w:val="0"/>
          <w:spacing w:val="0"/>
          <w:kern w:val="2"/>
          <w:sz w:val="24"/>
          <w:lang w:val="en-US"/>
        </w:rPr>
      </w:pP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bCs w:val="0"/>
          <w:spacing w:val="0"/>
          <w:kern w:val="2"/>
          <w:sz w:val="24"/>
          <w:u w:val="none"/>
          <w:lang w:val="en-US" w:eastAsia="zh-CN"/>
        </w:rPr>
        <w:t xml:space="preserve"> 送达地址：（中选后合同及合同履行资料邮寄地址）</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9"/>
      </w:pPr>
    </w:p>
    <w:p>
      <w:pPr>
        <w:pStyle w:val="9"/>
      </w:pPr>
    </w:p>
    <w:p>
      <w:pPr>
        <w:pStyle w:val="9"/>
      </w:pPr>
    </w:p>
    <w:p>
      <w:pPr>
        <w:pStyle w:val="9"/>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#1、#2机组安装锅炉壁温测点项目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并响应项目竞争性谈判</w:t>
      </w:r>
      <w:r>
        <w:rPr>
          <w:rFonts w:hint="eastAsia" w:ascii="仿宋_GB2312" w:hAnsi="仿宋_GB2312" w:eastAsia="仿宋_GB2312" w:cs="仿宋_GB2312"/>
          <w:sz w:val="24"/>
          <w:szCs w:val="24"/>
        </w:rPr>
        <w:t>文件要求和</w:t>
      </w:r>
      <w:r>
        <w:rPr>
          <w:rFonts w:hint="eastAsia" w:ascii="仿宋_GB2312" w:hAnsi="仿宋_GB2312" w:eastAsia="仿宋_GB2312" w:cs="仿宋_GB2312"/>
          <w:sz w:val="24"/>
          <w:szCs w:val="24"/>
          <w:lang w:eastAsia="zh-CN"/>
        </w:rPr>
        <w:t>技术规范书要求</w:t>
      </w:r>
      <w:r>
        <w:rPr>
          <w:rFonts w:hint="eastAsia" w:ascii="仿宋_GB2312" w:hAnsi="仿宋_GB2312" w:eastAsia="仿宋_GB2312" w:cs="仿宋_GB2312"/>
          <w:sz w:val="24"/>
          <w:szCs w:val="24"/>
        </w:rPr>
        <w:t>。我公司同意报价截止之日起90天内本报价一直对我公司具有约束力，并随时被</w:t>
      </w:r>
      <w:r>
        <w:rPr>
          <w:rFonts w:hint="eastAsia" w:ascii="仿宋_GB2312" w:hAnsi="仿宋_GB2312" w:eastAsia="仿宋_GB2312" w:cs="仿宋_GB2312"/>
          <w:sz w:val="24"/>
          <w:szCs w:val="24"/>
          <w:lang w:eastAsia="zh-CN"/>
        </w:rPr>
        <w:t>贵方</w:t>
      </w:r>
      <w:r>
        <w:rPr>
          <w:rFonts w:hint="eastAsia" w:ascii="仿宋_GB2312" w:hAnsi="仿宋_GB2312" w:eastAsia="仿宋_GB2312" w:cs="仿宋_GB2312"/>
          <w:sz w:val="24"/>
          <w:szCs w:val="24"/>
        </w:rPr>
        <w:t>接受。</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1"/>
          <w:numId w:val="0"/>
        </w:numPr>
        <w:kinsoku/>
        <w:wordWrap/>
        <w:overflowPunct/>
        <w:topLinePunct w:val="0"/>
        <w:autoSpaceDE/>
        <w:autoSpaceDN/>
        <w:bidi w:val="0"/>
        <w:adjustRightInd w:val="0"/>
        <w:spacing w:line="360" w:lineRule="auto"/>
        <w:ind w:left="0" w:leftChars="0" w:right="0" w:rightChars="0" w:firstLine="0" w:firstLineChars="0"/>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若中选，因我方原因未按竞争性谈判文件要求和技术规范书要求与贵方签订书面合同，贵方有权扣除我方的报价保证金并有权取消我方中选资格。</w:t>
      </w:r>
    </w:p>
    <w:p>
      <w:pPr>
        <w:numPr>
          <w:ilvl w:val="0"/>
          <w:numId w:val="2"/>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9"/>
      </w:pPr>
    </w:p>
    <w:p>
      <w:r>
        <w:br w:type="page"/>
      </w:r>
    </w:p>
    <w:p>
      <w:pPr>
        <w:adjustRightInd w:val="0"/>
        <w:snapToGrid w:val="0"/>
        <w:jc w:val="center"/>
        <w:rPr>
          <w:rFonts w:hint="eastAsia" w:ascii="方正小标宋简体" w:hAnsi="方正小标宋简体" w:eastAsia="方正小标宋简体" w:cs="方正小标宋简体"/>
          <w:kern w:val="44"/>
          <w:sz w:val="44"/>
          <w:szCs w:val="44"/>
          <w:lang w:val="zh-CN" w:eastAsia="zh-CN"/>
        </w:rPr>
      </w:pPr>
      <w:r>
        <w:rPr>
          <w:rFonts w:hint="eastAsia" w:ascii="方正小标宋简体" w:hAnsi="方正小标宋简体" w:eastAsia="方正小标宋简体" w:cs="方正小标宋简体"/>
          <w:kern w:val="44"/>
          <w:sz w:val="44"/>
          <w:szCs w:val="44"/>
          <w:lang w:val="zh-CN" w:eastAsia="zh-CN"/>
        </w:rPr>
        <w:t>工器具明细表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3127"/>
        <w:gridCol w:w="2136"/>
        <w:gridCol w:w="213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序号</w:t>
            </w:r>
          </w:p>
        </w:tc>
        <w:tc>
          <w:tcPr>
            <w:tcW w:w="3127"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名称</w:t>
            </w:r>
          </w:p>
        </w:tc>
        <w:tc>
          <w:tcPr>
            <w:tcW w:w="2136"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型号</w:t>
            </w:r>
          </w:p>
        </w:tc>
        <w:tc>
          <w:tcPr>
            <w:tcW w:w="2136" w:type="dxa"/>
            <w:vAlign w:val="center"/>
          </w:tcPr>
          <w:p>
            <w:pPr>
              <w:pStyle w:val="2"/>
              <w:keepNext w:val="0"/>
              <w:keepLines w:val="0"/>
              <w:suppressLineNumbers w:val="0"/>
              <w:spacing w:before="0" w:beforeAutospacing="0" w:afterAutospacing="0"/>
              <w:ind w:left="0" w:right="0"/>
              <w:jc w:val="center"/>
              <w:rPr>
                <w:rFonts w:hint="eastAsia" w:ascii="黑体" w:hAnsi="黑体" w:eastAsia="黑体" w:cs="黑体"/>
                <w:vertAlign w:val="baseline"/>
                <w:lang w:val="zh-CN" w:eastAsia="zh-CN"/>
              </w:rPr>
            </w:pPr>
            <w:r>
              <w:rPr>
                <w:rFonts w:hint="eastAsia" w:ascii="黑体" w:hAnsi="黑体" w:eastAsia="黑体" w:cs="黑体"/>
                <w:vertAlign w:val="baseline"/>
                <w:lang w:val="zh-CN" w:eastAsia="zh-CN"/>
              </w:rPr>
              <w:t>数量</w:t>
            </w:r>
          </w:p>
        </w:tc>
        <w:tc>
          <w:tcPr>
            <w:tcW w:w="2136" w:type="dxa"/>
            <w:vAlign w:val="center"/>
          </w:tcPr>
          <w:p>
            <w:pPr>
              <w:pStyle w:val="2"/>
              <w:keepNext w:val="0"/>
              <w:keepLines w:val="0"/>
              <w:suppressLineNumbers w:val="0"/>
              <w:spacing w:before="0" w:beforeAutospacing="0" w:afterAutospacing="0"/>
              <w:ind w:left="0" w:right="0"/>
              <w:jc w:val="center"/>
              <w:rPr>
                <w:rFonts w:hint="default" w:ascii="黑体" w:hAnsi="黑体" w:eastAsia="黑体" w:cs="黑体"/>
                <w:vertAlign w:val="baseline"/>
                <w:lang w:val="zh-CN" w:eastAsia="zh-CN"/>
              </w:rPr>
            </w:pPr>
            <w:r>
              <w:rPr>
                <w:rFonts w:hint="eastAsia" w:ascii="黑体" w:hAnsi="黑体" w:eastAsia="黑体" w:cs="黑体"/>
                <w:vertAlign w:val="baseline"/>
                <w:lang w:val="zh-CN"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en-US" w:eastAsia="zh-CN"/>
              </w:rPr>
            </w:pPr>
            <w:r>
              <w:rPr>
                <w:rFonts w:hint="eastAsia"/>
                <w:vertAlign w:val="baseline"/>
                <w:lang w:val="en-US" w:eastAsia="zh-CN"/>
              </w:rPr>
              <w:t>1</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en-US" w:eastAsia="zh-CN"/>
              </w:rPr>
            </w:pPr>
            <w:r>
              <w:rPr>
                <w:rFonts w:hint="eastAsia"/>
                <w:vertAlign w:val="baseline"/>
                <w:lang w:val="en-US" w:eastAsia="zh-CN"/>
              </w:rPr>
              <w:t>2</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en-US" w:eastAsia="zh-CN"/>
              </w:rPr>
            </w:pPr>
            <w:r>
              <w:rPr>
                <w:rFonts w:hint="eastAsia"/>
                <w:vertAlign w:val="baseline"/>
                <w:lang w:val="en-US" w:eastAsia="zh-CN"/>
              </w:rPr>
              <w:t>3</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r>
              <w:rPr>
                <w:rFonts w:hint="eastAsia"/>
                <w:vertAlign w:val="baseline"/>
                <w:lang w:val="zh-CN" w:eastAsia="zh-CN"/>
              </w:rPr>
              <w:t>……</w:t>
            </w:r>
          </w:p>
        </w:tc>
        <w:tc>
          <w:tcPr>
            <w:tcW w:w="3127"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c>
          <w:tcPr>
            <w:tcW w:w="2136" w:type="dxa"/>
          </w:tcPr>
          <w:p>
            <w:pPr>
              <w:pStyle w:val="2"/>
              <w:keepNext w:val="0"/>
              <w:keepLines w:val="0"/>
              <w:suppressLineNumbers w:val="0"/>
              <w:spacing w:before="0" w:beforeAutospacing="0" w:afterAutospacing="0"/>
              <w:ind w:left="0" w:right="0"/>
              <w:rPr>
                <w:rFonts w:hint="default" w:eastAsia="宋体"/>
                <w:vertAlign w:val="baseline"/>
                <w:lang w:val="zh-CN" w:eastAsia="zh-CN"/>
              </w:rPr>
            </w:pPr>
          </w:p>
        </w:tc>
      </w:tr>
    </w:tbl>
    <w:p>
      <w:pPr>
        <w:pStyle w:val="2"/>
        <w:rPr>
          <w:rFonts w:hint="default" w:eastAsia="宋体"/>
          <w:lang w:val="zh-CN" w:eastAsia="zh-CN"/>
        </w:rPr>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abstractNum w:abstractNumId="1">
    <w:nsid w:val="62B12895"/>
    <w:multiLevelType w:val="singleLevel"/>
    <w:tmpl w:val="62B128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4865E64"/>
    <w:rsid w:val="051B106F"/>
    <w:rsid w:val="05604538"/>
    <w:rsid w:val="05965135"/>
    <w:rsid w:val="077C2D93"/>
    <w:rsid w:val="0828550C"/>
    <w:rsid w:val="08CF6123"/>
    <w:rsid w:val="09457446"/>
    <w:rsid w:val="0A4C3311"/>
    <w:rsid w:val="0B3F5A01"/>
    <w:rsid w:val="0D2D7DC5"/>
    <w:rsid w:val="0E5D6740"/>
    <w:rsid w:val="108D4FB5"/>
    <w:rsid w:val="110A451B"/>
    <w:rsid w:val="12F422EA"/>
    <w:rsid w:val="15351C43"/>
    <w:rsid w:val="153C351E"/>
    <w:rsid w:val="15DF504A"/>
    <w:rsid w:val="165D40DB"/>
    <w:rsid w:val="169D6AA5"/>
    <w:rsid w:val="184665DD"/>
    <w:rsid w:val="1A0F7BE0"/>
    <w:rsid w:val="1C0D284B"/>
    <w:rsid w:val="1C6449AB"/>
    <w:rsid w:val="1CA258D2"/>
    <w:rsid w:val="1CBB5978"/>
    <w:rsid w:val="21036C97"/>
    <w:rsid w:val="21066CBD"/>
    <w:rsid w:val="252834D7"/>
    <w:rsid w:val="25A847D7"/>
    <w:rsid w:val="26C329A6"/>
    <w:rsid w:val="27AC59D6"/>
    <w:rsid w:val="27E26203"/>
    <w:rsid w:val="28020AF0"/>
    <w:rsid w:val="290C4675"/>
    <w:rsid w:val="2C084BA9"/>
    <w:rsid w:val="2ED6183C"/>
    <w:rsid w:val="3034550A"/>
    <w:rsid w:val="31C91011"/>
    <w:rsid w:val="322055A9"/>
    <w:rsid w:val="32864F04"/>
    <w:rsid w:val="33D72415"/>
    <w:rsid w:val="348E1C47"/>
    <w:rsid w:val="34B70B04"/>
    <w:rsid w:val="35987EEF"/>
    <w:rsid w:val="36DF7C46"/>
    <w:rsid w:val="38FA143A"/>
    <w:rsid w:val="3B25403C"/>
    <w:rsid w:val="3B3F4030"/>
    <w:rsid w:val="3BC304E2"/>
    <w:rsid w:val="3E736356"/>
    <w:rsid w:val="3EC009AE"/>
    <w:rsid w:val="3F9D5840"/>
    <w:rsid w:val="3FC23F6C"/>
    <w:rsid w:val="3FF366D5"/>
    <w:rsid w:val="406212F8"/>
    <w:rsid w:val="43A97390"/>
    <w:rsid w:val="455901D1"/>
    <w:rsid w:val="475C642A"/>
    <w:rsid w:val="480B6C99"/>
    <w:rsid w:val="496E36C8"/>
    <w:rsid w:val="4B434DA7"/>
    <w:rsid w:val="4B6C74D0"/>
    <w:rsid w:val="4B785CE8"/>
    <w:rsid w:val="4EA25710"/>
    <w:rsid w:val="4EE20E5B"/>
    <w:rsid w:val="4F2C2F93"/>
    <w:rsid w:val="4FA74613"/>
    <w:rsid w:val="4FBF42E5"/>
    <w:rsid w:val="50614361"/>
    <w:rsid w:val="516F13BD"/>
    <w:rsid w:val="53192EF6"/>
    <w:rsid w:val="53BA2E6A"/>
    <w:rsid w:val="54067363"/>
    <w:rsid w:val="54C87530"/>
    <w:rsid w:val="574F64C5"/>
    <w:rsid w:val="57AB0E67"/>
    <w:rsid w:val="5839446F"/>
    <w:rsid w:val="5907338F"/>
    <w:rsid w:val="59481887"/>
    <w:rsid w:val="59F5307C"/>
    <w:rsid w:val="5AFC259D"/>
    <w:rsid w:val="5E1E68F7"/>
    <w:rsid w:val="61327432"/>
    <w:rsid w:val="62EE3C5C"/>
    <w:rsid w:val="63A20927"/>
    <w:rsid w:val="63CE26DA"/>
    <w:rsid w:val="659B25C1"/>
    <w:rsid w:val="671237C7"/>
    <w:rsid w:val="6968159D"/>
    <w:rsid w:val="6C1626E0"/>
    <w:rsid w:val="6D6D2EA1"/>
    <w:rsid w:val="6EAC4723"/>
    <w:rsid w:val="71344A46"/>
    <w:rsid w:val="72CE6D66"/>
    <w:rsid w:val="73B40A19"/>
    <w:rsid w:val="73DD66F5"/>
    <w:rsid w:val="74792624"/>
    <w:rsid w:val="74D81881"/>
    <w:rsid w:val="75032589"/>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文字2"/>
    <w:basedOn w:val="1"/>
    <w:qFormat/>
    <w:uiPriority w:val="0"/>
    <w:pPr>
      <w:jc w:val="left"/>
    </w:pPr>
    <w:rPr>
      <w:bCs/>
      <w:spacing w:val="10"/>
      <w:kern w:val="0"/>
    </w:rPr>
  </w:style>
  <w:style w:type="character" w:customStyle="1" w:styleId="10">
    <w:name w:val="font61"/>
    <w:basedOn w:val="8"/>
    <w:qFormat/>
    <w:uiPriority w:val="0"/>
    <w:rPr>
      <w:rFonts w:hint="eastAsia" w:ascii="宋体" w:hAnsi="宋体" w:eastAsia="宋体" w:cs="宋体"/>
      <w:color w:val="FF0000"/>
      <w:sz w:val="22"/>
      <w:szCs w:val="22"/>
      <w:u w:val="none"/>
    </w:rPr>
  </w:style>
  <w:style w:type="paragraph" w:customStyle="1" w:styleId="11">
    <w:name w:val=" Char"/>
    <w:basedOn w:val="1"/>
    <w:qFormat/>
    <w:uiPriority w:val="0"/>
  </w:style>
  <w:style w:type="character" w:customStyle="1" w:styleId="12">
    <w:name w:val="15"/>
    <w:basedOn w:val="8"/>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2024-04-23T02:12:00Z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9E52EAF2C071452D9435A0CF85DC34ED</vt:lpwstr>
  </property>
</Properties>
</file>