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961" w:hanging="961"/>
        <w:jc w:val="center"/>
        <w:rPr>
          <w:rFonts w:hint="eastAsia" w:ascii="宋体" w:hAnsi="宋体"/>
          <w:b/>
          <w:bCs/>
          <w:sz w:val="48"/>
          <w:szCs w:val="48"/>
        </w:rPr>
      </w:pPr>
      <w:r>
        <w:rPr>
          <w:rFonts w:hint="eastAsia" w:ascii="宋体" w:hAnsi="宋体"/>
          <w:b/>
          <w:bCs/>
          <w:sz w:val="48"/>
          <w:szCs w:val="48"/>
        </w:rPr>
        <w:t xml:space="preserve"> </w:t>
      </w:r>
    </w:p>
    <w:p>
      <w:pPr>
        <w:spacing w:line="360" w:lineRule="auto"/>
        <w:ind w:left="961" w:hanging="961"/>
        <w:jc w:val="center"/>
        <w:rPr>
          <w:rFonts w:hint="eastAsia" w:ascii="宋体" w:hAnsi="宋体"/>
          <w:b/>
          <w:bCs/>
          <w:sz w:val="32"/>
          <w:szCs w:val="32"/>
        </w:rPr>
      </w:pPr>
      <w:r>
        <w:rPr>
          <w:rFonts w:hint="eastAsia" w:ascii="宋体" w:hAnsi="宋体"/>
          <w:b/>
          <w:bCs/>
          <w:sz w:val="32"/>
          <w:szCs w:val="32"/>
        </w:rPr>
        <w:t>四川泸州川南发电有限责任公司2×600MW机组</w:t>
      </w: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before="120" w:line="360" w:lineRule="auto"/>
        <w:jc w:val="center"/>
        <w:rPr>
          <w:rFonts w:hint="eastAsia" w:ascii="宋体" w:hAnsi="宋体"/>
          <w:b/>
          <w:bCs/>
          <w:sz w:val="44"/>
          <w:szCs w:val="44"/>
        </w:rPr>
      </w:pPr>
      <w:r>
        <w:rPr>
          <w:rFonts w:hint="eastAsia" w:ascii="宋体" w:hAnsi="宋体"/>
          <w:b/>
          <w:bCs/>
          <w:sz w:val="44"/>
          <w:szCs w:val="44"/>
          <w:lang w:eastAsia="zh-CN"/>
        </w:rPr>
        <w:t>202</w:t>
      </w:r>
      <w:r>
        <w:rPr>
          <w:rFonts w:hint="eastAsia" w:ascii="宋体" w:hAnsi="宋体"/>
          <w:b/>
          <w:bCs/>
          <w:sz w:val="44"/>
          <w:szCs w:val="44"/>
          <w:lang w:val="en-US" w:eastAsia="zh-CN"/>
        </w:rPr>
        <w:t>4</w:t>
      </w:r>
      <w:r>
        <w:rPr>
          <w:rFonts w:hint="eastAsia" w:ascii="宋体" w:hAnsi="宋体"/>
          <w:b/>
          <w:bCs/>
          <w:sz w:val="44"/>
          <w:szCs w:val="44"/>
          <w:lang w:eastAsia="zh-CN"/>
        </w:rPr>
        <w:t>年</w:t>
      </w:r>
      <w:r>
        <w:rPr>
          <w:rFonts w:hint="eastAsia" w:ascii="宋体" w:hAnsi="宋体"/>
          <w:b/>
          <w:bCs/>
          <w:sz w:val="44"/>
          <w:szCs w:val="44"/>
        </w:rPr>
        <w:t>室内、外设备防腐</w:t>
      </w:r>
    </w:p>
    <w:p>
      <w:pPr>
        <w:spacing w:before="120" w:line="360" w:lineRule="auto"/>
        <w:jc w:val="center"/>
        <w:rPr>
          <w:rFonts w:hint="eastAsia" w:ascii="宋体" w:hAnsi="宋体"/>
          <w:b/>
          <w:bCs/>
          <w:sz w:val="52"/>
          <w:szCs w:val="52"/>
        </w:rPr>
      </w:pPr>
      <w:r>
        <w:rPr>
          <w:rFonts w:hint="eastAsia" w:ascii="宋体" w:hAnsi="宋体"/>
          <w:b/>
          <w:bCs/>
          <w:spacing w:val="-12"/>
          <w:sz w:val="44"/>
          <w:szCs w:val="44"/>
        </w:rPr>
        <w:t>技术规范书</w:t>
      </w: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line="360" w:lineRule="auto"/>
        <w:ind w:left="961" w:hanging="961"/>
        <w:jc w:val="center"/>
        <w:rPr>
          <w:rFonts w:hint="eastAsia" w:ascii="宋体" w:hAnsi="宋体"/>
          <w:b/>
          <w:bCs/>
          <w:sz w:val="48"/>
          <w:szCs w:val="48"/>
        </w:rPr>
      </w:pPr>
    </w:p>
    <w:p>
      <w:pPr>
        <w:spacing w:line="460" w:lineRule="exact"/>
        <w:jc w:val="center"/>
        <w:rPr>
          <w:rFonts w:hint="eastAsia" w:ascii="宋体" w:hAnsi="宋体"/>
          <w:b/>
          <w:bCs/>
          <w:sz w:val="44"/>
          <w:szCs w:val="44"/>
        </w:rPr>
      </w:pPr>
    </w:p>
    <w:p>
      <w:pPr>
        <w:spacing w:line="460" w:lineRule="exact"/>
        <w:jc w:val="center"/>
        <w:rPr>
          <w:rFonts w:hint="eastAsia" w:ascii="宋体" w:hAnsi="宋体"/>
          <w:b/>
          <w:bCs/>
          <w:sz w:val="44"/>
          <w:szCs w:val="44"/>
        </w:rPr>
      </w:pPr>
    </w:p>
    <w:p>
      <w:pPr>
        <w:spacing w:line="460" w:lineRule="exact"/>
        <w:jc w:val="center"/>
        <w:rPr>
          <w:rFonts w:hint="eastAsia" w:ascii="宋体" w:hAnsi="宋体"/>
          <w:b/>
          <w:bCs/>
          <w:sz w:val="44"/>
          <w:szCs w:val="44"/>
        </w:rPr>
      </w:pPr>
    </w:p>
    <w:p>
      <w:pPr>
        <w:spacing w:line="460" w:lineRule="exact"/>
        <w:jc w:val="center"/>
        <w:rPr>
          <w:rFonts w:hint="eastAsia" w:ascii="宋体" w:hAnsi="宋体"/>
          <w:b/>
          <w:bCs/>
          <w:sz w:val="44"/>
          <w:szCs w:val="44"/>
        </w:rPr>
      </w:pPr>
    </w:p>
    <w:p>
      <w:pPr>
        <w:spacing w:line="460" w:lineRule="exact"/>
        <w:jc w:val="center"/>
        <w:rPr>
          <w:rFonts w:hint="eastAsia" w:ascii="宋体" w:hAnsi="宋体"/>
          <w:b/>
          <w:bCs/>
          <w:sz w:val="44"/>
          <w:szCs w:val="44"/>
        </w:rPr>
      </w:pPr>
    </w:p>
    <w:p>
      <w:pPr>
        <w:spacing w:line="460" w:lineRule="exact"/>
        <w:jc w:val="center"/>
        <w:rPr>
          <w:rFonts w:hint="eastAsia" w:ascii="宋体" w:hAnsi="宋体"/>
          <w:sz w:val="36"/>
          <w:szCs w:val="36"/>
        </w:rPr>
      </w:pPr>
    </w:p>
    <w:p>
      <w:pPr>
        <w:spacing w:line="460" w:lineRule="exact"/>
        <w:jc w:val="center"/>
        <w:rPr>
          <w:rFonts w:hint="eastAsia" w:ascii="宋体" w:hAnsi="宋体"/>
          <w:sz w:val="36"/>
          <w:szCs w:val="36"/>
        </w:rPr>
      </w:pPr>
    </w:p>
    <w:p>
      <w:pPr>
        <w:spacing w:line="460" w:lineRule="exact"/>
        <w:jc w:val="center"/>
        <w:rPr>
          <w:rFonts w:hint="eastAsia" w:ascii="宋体" w:hAnsi="宋体"/>
          <w:sz w:val="36"/>
          <w:szCs w:val="36"/>
        </w:rPr>
      </w:pPr>
    </w:p>
    <w:p>
      <w:pPr>
        <w:spacing w:line="460" w:lineRule="exact"/>
        <w:jc w:val="center"/>
        <w:rPr>
          <w:rFonts w:hint="eastAsia" w:ascii="宋体" w:hAnsi="宋体"/>
          <w:sz w:val="36"/>
          <w:szCs w:val="36"/>
        </w:rPr>
      </w:pP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二〇二</w:t>
      </w:r>
      <w:r>
        <w:rPr>
          <w:rFonts w:hint="eastAsia" w:ascii="黑体" w:hAnsi="黑体" w:eastAsia="黑体" w:cs="黑体"/>
          <w:sz w:val="28"/>
          <w:szCs w:val="28"/>
          <w:lang w:val="en-US" w:eastAsia="zh-CN"/>
        </w:rPr>
        <w:t>四</w:t>
      </w:r>
      <w:r>
        <w:rPr>
          <w:rFonts w:hint="eastAsia" w:ascii="黑体" w:hAnsi="黑体" w:eastAsia="黑体" w:cs="黑体"/>
          <w:sz w:val="28"/>
          <w:szCs w:val="28"/>
        </w:rPr>
        <w:t>月</w:t>
      </w:r>
    </w:p>
    <w:p>
      <w:pPr>
        <w:spacing w:line="360" w:lineRule="auto"/>
        <w:jc w:val="center"/>
        <w:rPr>
          <w:rFonts w:hint="eastAsia" w:ascii="黑体" w:hAnsi="黑体" w:eastAsia="黑体" w:cs="黑体"/>
          <w:sz w:val="36"/>
          <w:szCs w:val="36"/>
        </w:rPr>
      </w:pPr>
    </w:p>
    <w:p>
      <w:pPr>
        <w:spacing w:line="460" w:lineRule="exact"/>
        <w:jc w:val="center"/>
        <w:rPr>
          <w:rFonts w:hint="eastAsia" w:ascii="黑体" w:hAnsi="黑体" w:eastAsia="黑体" w:cs="黑体"/>
          <w:sz w:val="28"/>
          <w:szCs w:val="28"/>
        </w:rPr>
      </w:pPr>
      <w:r>
        <w:rPr>
          <w:rFonts w:hint="eastAsia" w:ascii="黑体" w:hAnsi="黑体" w:eastAsia="黑体" w:cs="黑体"/>
          <w:sz w:val="28"/>
          <w:szCs w:val="28"/>
        </w:rPr>
        <w:t>四川泸州川南发电有限责任公司</w:t>
      </w:r>
    </w:p>
    <w:p>
      <w:pPr>
        <w:spacing w:line="460" w:lineRule="exact"/>
        <w:jc w:val="center"/>
        <w:rPr>
          <w:rFonts w:hint="eastAsia" w:ascii="黑体" w:hAnsi="黑体" w:eastAsia="黑体" w:cs="黑体"/>
          <w:sz w:val="36"/>
          <w:szCs w:val="36"/>
        </w:rPr>
        <w:sectPr>
          <w:footerReference r:id="rId5" w:type="first"/>
          <w:footerReference r:id="rId3" w:type="default"/>
          <w:footerReference r:id="rId4" w:type="even"/>
          <w:pgSz w:w="11906" w:h="16838"/>
          <w:pgMar w:top="1440" w:right="1797" w:bottom="1440" w:left="1797" w:header="720" w:footer="720" w:gutter="0"/>
          <w:pgNumType w:fmt="decimal"/>
          <w:cols w:space="720" w:num="1"/>
          <w:docGrid w:type="lines" w:linePitch="312" w:charSpace="0"/>
        </w:sectPr>
      </w:pPr>
    </w:p>
    <w:p>
      <w:pPr>
        <w:spacing w:line="600" w:lineRule="auto"/>
        <w:ind w:firstLine="3094"/>
        <w:rPr>
          <w:rFonts w:hint="eastAsia" w:ascii="宋体" w:hAnsi="宋体"/>
          <w:b/>
          <w:bCs/>
          <w:sz w:val="24"/>
          <w:szCs w:val="24"/>
        </w:rPr>
      </w:pPr>
      <w:r>
        <w:rPr>
          <w:rFonts w:hint="eastAsia" w:ascii="宋体" w:hAnsi="宋体"/>
          <w:b/>
          <w:bCs/>
          <w:sz w:val="24"/>
          <w:szCs w:val="24"/>
        </w:rPr>
        <w:t>目         录</w:t>
      </w:r>
    </w:p>
    <w:p>
      <w:pPr>
        <w:pStyle w:val="9"/>
        <w:tabs>
          <w:tab w:val="right" w:leader="dot" w:pos="8312"/>
        </w:tabs>
        <w:spacing w:line="600" w:lineRule="auto"/>
      </w:pPr>
      <w:r>
        <w:rPr>
          <w:rFonts w:ascii="宋体" w:hAnsi="宋体"/>
          <w:b/>
          <w:bCs/>
          <w:sz w:val="24"/>
          <w:szCs w:val="24"/>
        </w:rPr>
        <w:fldChar w:fldCharType="begin"/>
      </w:r>
      <w:r>
        <w:rPr>
          <w:rFonts w:ascii="宋体" w:hAnsi="宋体"/>
          <w:b/>
          <w:bCs/>
          <w:sz w:val="24"/>
          <w:szCs w:val="24"/>
        </w:rPr>
        <w:instrText xml:space="preserve"> </w:instrText>
      </w:r>
      <w:r>
        <w:rPr>
          <w:rFonts w:hint="eastAsia" w:ascii="宋体" w:hAnsi="宋体"/>
          <w:b/>
          <w:bCs/>
          <w:sz w:val="24"/>
          <w:szCs w:val="24"/>
        </w:rPr>
        <w:instrText xml:space="preserve">TOC \o "1-1" \h \z \u</w:instrText>
      </w:r>
      <w:r>
        <w:rPr>
          <w:rFonts w:ascii="宋体" w:hAnsi="宋体"/>
          <w:b/>
          <w:bCs/>
          <w:sz w:val="24"/>
          <w:szCs w:val="24"/>
        </w:rPr>
        <w:instrText xml:space="preserve"> </w:instrText>
      </w:r>
      <w:r>
        <w:rPr>
          <w:rFonts w:ascii="宋体" w:hAnsi="宋体"/>
          <w:b/>
          <w:bCs/>
          <w:sz w:val="24"/>
          <w:szCs w:val="24"/>
        </w:rPr>
        <w:fldChar w:fldCharType="separate"/>
      </w:r>
      <w:r>
        <w:rPr>
          <w:rFonts w:ascii="宋体" w:hAnsi="宋体"/>
          <w:bCs/>
          <w:szCs w:val="24"/>
        </w:rPr>
        <w:fldChar w:fldCharType="begin"/>
      </w:r>
      <w:r>
        <w:rPr>
          <w:rFonts w:ascii="宋体" w:hAnsi="宋体"/>
          <w:bCs/>
          <w:szCs w:val="24"/>
        </w:rPr>
        <w:instrText xml:space="preserve"> HYPERLINK \l _Toc8180 </w:instrText>
      </w:r>
      <w:r>
        <w:rPr>
          <w:rFonts w:ascii="宋体" w:hAnsi="宋体"/>
          <w:bCs/>
          <w:szCs w:val="24"/>
        </w:rPr>
        <w:fldChar w:fldCharType="separate"/>
      </w:r>
      <w:r>
        <w:rPr>
          <w:rFonts w:hint="eastAsia" w:ascii="仿宋_GB2312" w:hAnsi="楷体" w:eastAsia="仿宋_GB2312"/>
          <w:szCs w:val="24"/>
        </w:rPr>
        <w:t>一、 总则</w:t>
      </w:r>
      <w:r>
        <w:tab/>
      </w:r>
      <w:r>
        <w:fldChar w:fldCharType="begin"/>
      </w:r>
      <w:r>
        <w:instrText xml:space="preserve"> PAGEREF _Toc8180 \h </w:instrText>
      </w:r>
      <w:r>
        <w:fldChar w:fldCharType="separate"/>
      </w:r>
      <w:r>
        <w:t>3</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_Toc20927 </w:instrText>
      </w:r>
      <w:r>
        <w:rPr>
          <w:rFonts w:ascii="宋体" w:hAnsi="宋体"/>
          <w:bCs/>
          <w:szCs w:val="24"/>
        </w:rPr>
        <w:fldChar w:fldCharType="separate"/>
      </w:r>
      <w:r>
        <w:rPr>
          <w:rFonts w:hint="eastAsia" w:ascii="仿宋_GB2312" w:hAnsi="楷体" w:eastAsia="仿宋_GB2312"/>
          <w:szCs w:val="24"/>
        </w:rPr>
        <w:t>二、 公司概况、环境条件概述、设备防腐范围</w:t>
      </w:r>
      <w:r>
        <w:tab/>
      </w:r>
      <w:r>
        <w:fldChar w:fldCharType="begin"/>
      </w:r>
      <w:r>
        <w:instrText xml:space="preserve"> PAGEREF _Toc20927 \h </w:instrText>
      </w:r>
      <w:r>
        <w:fldChar w:fldCharType="separate"/>
      </w:r>
      <w:r>
        <w:t>3</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_Toc489 </w:instrText>
      </w:r>
      <w:r>
        <w:rPr>
          <w:rFonts w:ascii="宋体" w:hAnsi="宋体"/>
          <w:bCs/>
          <w:szCs w:val="24"/>
        </w:rPr>
        <w:fldChar w:fldCharType="separate"/>
      </w:r>
      <w:r>
        <w:rPr>
          <w:rFonts w:hint="eastAsia" w:ascii="仿宋_GB2312" w:hAnsi="楷体" w:eastAsia="仿宋_GB2312"/>
        </w:rPr>
        <w:t>三、 投标方供货内容及机具要求</w:t>
      </w:r>
      <w:r>
        <w:tab/>
      </w:r>
      <w:r>
        <w:fldChar w:fldCharType="begin"/>
      </w:r>
      <w:r>
        <w:instrText xml:space="preserve"> PAGEREF _Toc489 \h </w:instrText>
      </w:r>
      <w:r>
        <w:fldChar w:fldCharType="separate"/>
      </w:r>
      <w:r>
        <w:t>11</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_Toc5945 </w:instrText>
      </w:r>
      <w:r>
        <w:rPr>
          <w:rFonts w:ascii="宋体" w:hAnsi="宋体"/>
          <w:bCs/>
          <w:szCs w:val="24"/>
        </w:rPr>
        <w:fldChar w:fldCharType="separate"/>
      </w:r>
      <w:r>
        <w:rPr>
          <w:rFonts w:hint="eastAsia" w:ascii="仿宋_GB2312" w:hAnsi="楷体" w:eastAsia="仿宋_GB2312"/>
        </w:rPr>
        <w:t>四、 投标方遵守的规范、施工要求、原材料及工艺</w:t>
      </w:r>
      <w:r>
        <w:tab/>
      </w:r>
      <w:r>
        <w:fldChar w:fldCharType="begin"/>
      </w:r>
      <w:r>
        <w:instrText xml:space="preserve"> PAGEREF _Toc5945 \h </w:instrText>
      </w:r>
      <w:r>
        <w:fldChar w:fldCharType="separate"/>
      </w:r>
      <w:r>
        <w:t>11</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_Toc17035 </w:instrText>
      </w:r>
      <w:r>
        <w:rPr>
          <w:rFonts w:ascii="宋体" w:hAnsi="宋体"/>
          <w:bCs/>
          <w:szCs w:val="24"/>
        </w:rPr>
        <w:fldChar w:fldCharType="separate"/>
      </w:r>
      <w:r>
        <w:rPr>
          <w:rFonts w:hint="eastAsia" w:ascii="仿宋_GB2312" w:hAnsi="楷体" w:eastAsia="仿宋_GB2312"/>
          <w:szCs w:val="24"/>
        </w:rPr>
        <w:t>五、 质量、工期、资料要求</w:t>
      </w:r>
      <w:r>
        <w:tab/>
      </w:r>
      <w:r>
        <w:fldChar w:fldCharType="begin"/>
      </w:r>
      <w:r>
        <w:instrText xml:space="preserve"> PAGEREF _Toc17035 \h </w:instrText>
      </w:r>
      <w:r>
        <w:fldChar w:fldCharType="separate"/>
      </w:r>
      <w:r>
        <w:t>13</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_Toc10433 </w:instrText>
      </w:r>
      <w:r>
        <w:rPr>
          <w:rFonts w:ascii="宋体" w:hAnsi="宋体"/>
          <w:bCs/>
          <w:szCs w:val="24"/>
        </w:rPr>
        <w:fldChar w:fldCharType="separate"/>
      </w:r>
      <w:r>
        <w:rPr>
          <w:rFonts w:hint="eastAsia" w:ascii="仿宋_GB2312" w:hAnsi="楷体" w:eastAsia="仿宋_GB2312"/>
          <w:szCs w:val="24"/>
        </w:rPr>
        <w:t>六、 工程条款</w:t>
      </w:r>
      <w:r>
        <w:tab/>
      </w:r>
      <w:r>
        <w:fldChar w:fldCharType="begin"/>
      </w:r>
      <w:r>
        <w:instrText xml:space="preserve"> PAGEREF _Toc10433 \h </w:instrText>
      </w:r>
      <w:r>
        <w:fldChar w:fldCharType="separate"/>
      </w:r>
      <w:r>
        <w:t>14</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_Toc32718 </w:instrText>
      </w:r>
      <w:r>
        <w:rPr>
          <w:rFonts w:ascii="宋体" w:hAnsi="宋体"/>
          <w:bCs/>
          <w:szCs w:val="24"/>
        </w:rPr>
        <w:fldChar w:fldCharType="separate"/>
      </w:r>
      <w:r>
        <w:rPr>
          <w:rFonts w:hint="eastAsia" w:ascii="仿宋_GB2312" w:hAnsi="楷体" w:eastAsia="仿宋_GB2312"/>
          <w:szCs w:val="24"/>
        </w:rPr>
        <w:t>七、 组织机构及施工体系</w:t>
      </w:r>
      <w:r>
        <w:tab/>
      </w:r>
      <w:r>
        <w:fldChar w:fldCharType="begin"/>
      </w:r>
      <w:r>
        <w:instrText xml:space="preserve"> PAGEREF _Toc32718 \h </w:instrText>
      </w:r>
      <w:r>
        <w:fldChar w:fldCharType="separate"/>
      </w:r>
      <w:r>
        <w:t>15</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_Toc22279 </w:instrText>
      </w:r>
      <w:r>
        <w:rPr>
          <w:rFonts w:ascii="宋体" w:hAnsi="宋体"/>
          <w:bCs/>
          <w:szCs w:val="24"/>
        </w:rPr>
        <w:fldChar w:fldCharType="separate"/>
      </w:r>
      <w:r>
        <w:rPr>
          <w:rFonts w:hint="eastAsia" w:ascii="仿宋_GB2312" w:hAnsi="楷体" w:eastAsia="仿宋_GB2312"/>
        </w:rPr>
        <w:t>八、 投标方现场服务</w:t>
      </w:r>
      <w:r>
        <w:tab/>
      </w:r>
      <w:r>
        <w:fldChar w:fldCharType="begin"/>
      </w:r>
      <w:r>
        <w:instrText xml:space="preserve"> PAGEREF _Toc22279 \h </w:instrText>
      </w:r>
      <w:r>
        <w:fldChar w:fldCharType="separate"/>
      </w:r>
      <w:r>
        <w:t>19</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_Toc4073 </w:instrText>
      </w:r>
      <w:r>
        <w:rPr>
          <w:rFonts w:ascii="宋体" w:hAnsi="宋体"/>
          <w:bCs/>
          <w:szCs w:val="24"/>
        </w:rPr>
        <w:fldChar w:fldCharType="separate"/>
      </w:r>
      <w:r>
        <w:rPr>
          <w:rFonts w:hint="eastAsia" w:ascii="仿宋_GB2312" w:hAnsi="楷体" w:eastAsia="仿宋_GB2312"/>
        </w:rPr>
        <w:t>九、 包装、运输、储存、回收</w:t>
      </w:r>
      <w:r>
        <w:tab/>
      </w:r>
      <w:r>
        <w:fldChar w:fldCharType="begin"/>
      </w:r>
      <w:r>
        <w:instrText xml:space="preserve"> PAGEREF _Toc4073 \h </w:instrText>
      </w:r>
      <w:r>
        <w:fldChar w:fldCharType="separate"/>
      </w:r>
      <w:r>
        <w:t>20</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_Toc28302 </w:instrText>
      </w:r>
      <w:r>
        <w:rPr>
          <w:rFonts w:ascii="宋体" w:hAnsi="宋体"/>
          <w:bCs/>
          <w:szCs w:val="24"/>
        </w:rPr>
        <w:fldChar w:fldCharType="separate"/>
      </w:r>
      <w:r>
        <w:rPr>
          <w:rFonts w:hint="eastAsia" w:ascii="仿宋_GB2312" w:hAnsi="楷体" w:eastAsia="仿宋_GB2312"/>
        </w:rPr>
        <w:t>附件1：防腐材料、工具清单</w:t>
      </w:r>
      <w:r>
        <w:tab/>
      </w:r>
      <w:r>
        <w:fldChar w:fldCharType="begin"/>
      </w:r>
      <w:r>
        <w:instrText xml:space="preserve"> PAGEREF _Toc28302 \h </w:instrText>
      </w:r>
      <w:r>
        <w:fldChar w:fldCharType="separate"/>
      </w:r>
      <w:r>
        <w:t>21</w:t>
      </w:r>
      <w:r>
        <w:fldChar w:fldCharType="end"/>
      </w:r>
      <w:r>
        <w:rPr>
          <w:rFonts w:ascii="宋体" w:hAnsi="宋体"/>
          <w:bCs/>
          <w:szCs w:val="24"/>
        </w:rPr>
        <w:fldChar w:fldCharType="end"/>
      </w:r>
    </w:p>
    <w:p>
      <w:pPr>
        <w:pStyle w:val="9"/>
        <w:tabs>
          <w:tab w:val="right" w:leader="dot" w:pos="8312"/>
        </w:tabs>
        <w:spacing w:line="600" w:lineRule="auto"/>
      </w:pPr>
      <w:r>
        <w:rPr>
          <w:rFonts w:ascii="宋体" w:hAnsi="宋体"/>
          <w:bCs/>
          <w:szCs w:val="24"/>
        </w:rPr>
        <w:fldChar w:fldCharType="begin"/>
      </w:r>
      <w:r>
        <w:rPr>
          <w:rFonts w:ascii="宋体" w:hAnsi="宋体"/>
          <w:bCs/>
          <w:szCs w:val="24"/>
        </w:rPr>
        <w:instrText xml:space="preserve"> HYPERLINK \l _Toc10224 </w:instrText>
      </w:r>
      <w:r>
        <w:rPr>
          <w:rFonts w:ascii="宋体" w:hAnsi="宋体"/>
          <w:bCs/>
          <w:szCs w:val="24"/>
        </w:rPr>
        <w:fldChar w:fldCharType="separate"/>
      </w:r>
      <w:r>
        <w:rPr>
          <w:rFonts w:hint="eastAsia" w:ascii="黑体" w:hAnsi="黑体" w:eastAsia="黑体" w:cs="黑体"/>
          <w:szCs w:val="30"/>
          <w:lang w:val="en-US" w:eastAsia="zh-CN"/>
        </w:rPr>
        <w:t>附件2：</w:t>
      </w:r>
      <w:r>
        <w:rPr>
          <w:rFonts w:hint="default" w:ascii="黑体" w:hAnsi="黑体" w:eastAsia="黑体" w:cs="黑体"/>
          <w:szCs w:val="30"/>
          <w:lang w:val="en-US" w:eastAsia="zh-CN"/>
        </w:rPr>
        <w:t>检修质量、进度考核实施细则</w:t>
      </w:r>
      <w:r>
        <w:tab/>
      </w:r>
      <w:r>
        <w:fldChar w:fldCharType="begin"/>
      </w:r>
      <w:r>
        <w:instrText xml:space="preserve"> PAGEREF _Toc10224 \h </w:instrText>
      </w:r>
      <w:r>
        <w:fldChar w:fldCharType="separate"/>
      </w:r>
      <w:r>
        <w:t>22</w:t>
      </w:r>
      <w:r>
        <w:fldChar w:fldCharType="end"/>
      </w:r>
      <w:r>
        <w:rPr>
          <w:rFonts w:ascii="宋体" w:hAnsi="宋体"/>
          <w:bCs/>
          <w:szCs w:val="24"/>
        </w:rPr>
        <w:fldChar w:fldCharType="end"/>
      </w:r>
    </w:p>
    <w:p>
      <w:pPr>
        <w:spacing w:before="156" w:beforeLines="50" w:after="156" w:afterLines="50" w:line="600" w:lineRule="auto"/>
        <w:rPr>
          <w:rFonts w:hint="eastAsia"/>
        </w:rPr>
        <w:sectPr>
          <w:pgSz w:w="11906" w:h="16838"/>
          <w:pgMar w:top="1440" w:right="1797" w:bottom="1440" w:left="1797" w:header="720" w:footer="720" w:gutter="0"/>
          <w:pgNumType w:fmt="decimal"/>
          <w:cols w:space="720" w:num="1"/>
          <w:docGrid w:type="lines" w:linePitch="312" w:charSpace="0"/>
        </w:sectPr>
      </w:pPr>
      <w:r>
        <w:rPr>
          <w:rFonts w:ascii="宋体" w:hAnsi="宋体"/>
          <w:bCs/>
          <w:szCs w:val="24"/>
        </w:rPr>
        <w:fldChar w:fldCharType="end"/>
      </w:r>
    </w:p>
    <w:p>
      <w:pPr>
        <w:pStyle w:val="2"/>
        <w:spacing w:line="240" w:lineRule="auto"/>
        <w:rPr>
          <w:rFonts w:hint="eastAsia" w:ascii="仿宋_GB2312" w:hAnsi="楷体" w:eastAsia="仿宋_GB2312"/>
          <w:szCs w:val="24"/>
        </w:rPr>
      </w:pPr>
      <w:bookmarkStart w:id="0" w:name="_Toc8180"/>
      <w:r>
        <w:rPr>
          <w:rFonts w:hint="eastAsia" w:ascii="仿宋_GB2312" w:hAnsi="楷体" w:eastAsia="仿宋_GB2312"/>
          <w:szCs w:val="24"/>
        </w:rPr>
        <w:t>总则</w:t>
      </w:r>
      <w:bookmarkEnd w:id="0"/>
    </w:p>
    <w:p>
      <w:pPr>
        <w:numPr>
          <w:ilvl w:val="0"/>
          <w:numId w:val="3"/>
        </w:numPr>
        <w:ind w:left="0" w:firstLine="0"/>
        <w:jc w:val="left"/>
        <w:rPr>
          <w:rFonts w:hint="eastAsia" w:ascii="仿宋_GB2312" w:hAnsi="宋体" w:eastAsia="仿宋_GB2312"/>
          <w:sz w:val="24"/>
        </w:rPr>
      </w:pPr>
      <w:r>
        <w:rPr>
          <w:rFonts w:hint="eastAsia" w:ascii="仿宋_GB2312" w:hAnsi="宋体" w:eastAsia="仿宋_GB2312"/>
          <w:sz w:val="24"/>
        </w:rPr>
        <w:t>本技术规范书适用于四川泸州川南发电有限责任公司</w:t>
      </w:r>
      <w:r>
        <w:rPr>
          <w:rFonts w:hint="eastAsia" w:ascii="仿宋_GB2312" w:hAnsi="宋体" w:eastAsia="仿宋_GB2312"/>
          <w:sz w:val="24"/>
          <w:lang w:eastAsia="zh-CN"/>
        </w:rPr>
        <w:t>（以下简称：招标方）</w:t>
      </w:r>
      <w:r>
        <w:rPr>
          <w:rFonts w:hint="eastAsia" w:ascii="仿宋_GB2312" w:hAnsi="宋体" w:eastAsia="仿宋_GB2312"/>
          <w:sz w:val="24"/>
        </w:rPr>
        <w:t>室内、外设备防腐及施工工艺，投标方负责设备防腐所需涂料及附属材料的供货和设备防腐施工。</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rPr>
        <w:t>本</w:t>
      </w:r>
      <w:bookmarkStart w:id="93" w:name="_GoBack"/>
      <w:r>
        <w:rPr>
          <w:rFonts w:hint="eastAsia" w:ascii="仿宋_GB2312" w:hAnsi="宋体" w:eastAsia="仿宋_GB2312"/>
          <w:sz w:val="24"/>
          <w:highlight w:val="none"/>
        </w:rPr>
        <w:t>技术规范书提出了室内、外设备防腐有关技术、安全、环保、质量要求，投标方应满足招标方设备防腐的技术、环保、安全、质量要求，并保证被防腐设备的安全运行。</w:t>
      </w:r>
    </w:p>
    <w:p>
      <w:pPr>
        <w:numPr>
          <w:ilvl w:val="0"/>
          <w:numId w:val="3"/>
        </w:numPr>
        <w:ind w:left="0" w:firstLine="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投标方必须具有防水防腐保温工程专业承包贰级及以上资质或化工防腐蚀施工综合壹级资质，投标时提供营业执照、安全生产许可证、建筑业企业资质证书、职业健康安全管理体系认证证书、</w:t>
      </w:r>
      <w:r>
        <w:rPr>
          <w:rFonts w:hint="eastAsia" w:ascii="仿宋_GB2312" w:hAnsi="宋体" w:eastAsia="仿宋_GB2312"/>
          <w:color w:val="auto"/>
          <w:sz w:val="24"/>
          <w:highlight w:val="none"/>
          <w:lang w:val="en-US" w:eastAsia="zh-CN"/>
        </w:rPr>
        <w:t>质量管理体系认证证书</w:t>
      </w:r>
      <w:r>
        <w:rPr>
          <w:rFonts w:hint="eastAsia" w:ascii="仿宋_GB2312" w:hAnsi="宋体" w:eastAsia="仿宋_GB2312"/>
          <w:sz w:val="24"/>
          <w:highlight w:val="none"/>
          <w:lang w:val="en-US" w:eastAsia="zh-CN"/>
        </w:rPr>
        <w:t>、</w:t>
      </w:r>
      <w:r>
        <w:rPr>
          <w:rFonts w:ascii="仿宋_GB2312" w:hAnsi="宋体" w:eastAsia="仿宋_GB2312"/>
          <w:color w:val="auto"/>
          <w:sz w:val="24"/>
          <w:highlight w:val="none"/>
        </w:rPr>
        <w:t>组织措施、技术措施、安全措施</w:t>
      </w:r>
      <w:r>
        <w:rPr>
          <w:rFonts w:hint="eastAsia" w:ascii="仿宋_GB2312" w:hAnsi="宋体" w:eastAsia="仿宋_GB2312"/>
          <w:color w:val="auto"/>
          <w:sz w:val="24"/>
          <w:highlight w:val="none"/>
        </w:rPr>
        <w:t>、应急预案、业绩证明。</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本技术规范书提出的是最低限度的技术要求，并未对一切技术细节作出规定，也未充分引述有关标准和规范的条文。投标方应保证提供符合本规范书和现行行业标准的优质产品。</w:t>
      </w:r>
    </w:p>
    <w:p>
      <w:pPr>
        <w:numPr>
          <w:ilvl w:val="0"/>
          <w:numId w:val="3"/>
        </w:numPr>
        <w:ind w:left="0" w:firstLine="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对国家有关安全、环保等强制性标准，投标方必须全部满足其要求，签订《川南发电环保管理协议</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川南发电安全管理协议》。</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lang w:val="en-US" w:eastAsia="zh-CN"/>
        </w:rPr>
        <w:t>投标方</w:t>
      </w:r>
      <w:r>
        <w:rPr>
          <w:rFonts w:hint="eastAsia" w:ascii="仿宋_GB2312" w:hAnsi="宋体" w:eastAsia="仿宋_GB2312"/>
          <w:sz w:val="24"/>
          <w:highlight w:val="none"/>
        </w:rPr>
        <w:t>必须遵守</w:t>
      </w:r>
      <w:r>
        <w:rPr>
          <w:rFonts w:hint="eastAsia" w:ascii="仿宋_GB2312" w:hAnsi="宋体" w:eastAsia="仿宋_GB2312"/>
          <w:sz w:val="24"/>
          <w:highlight w:val="none"/>
          <w:lang w:val="en-US" w:eastAsia="zh-CN"/>
        </w:rPr>
        <w:t>招标方</w:t>
      </w:r>
      <w:r>
        <w:rPr>
          <w:rFonts w:hint="eastAsia" w:ascii="仿宋_GB2312" w:hAnsi="宋体" w:eastAsia="仿宋_GB2312"/>
          <w:sz w:val="24"/>
          <w:highlight w:val="none"/>
        </w:rPr>
        <w:t>《安全生产工作规定》相关制度。对违反规定的</w:t>
      </w:r>
      <w:r>
        <w:rPr>
          <w:rFonts w:hint="eastAsia" w:ascii="仿宋_GB2312" w:hAnsi="宋体" w:eastAsia="仿宋_GB2312"/>
          <w:sz w:val="24"/>
          <w:highlight w:val="none"/>
          <w:lang w:eastAsia="zh-CN"/>
        </w:rPr>
        <w:t>，</w:t>
      </w:r>
      <w:r>
        <w:rPr>
          <w:rFonts w:hint="eastAsia" w:ascii="仿宋_GB2312" w:hAnsi="宋体" w:eastAsia="仿宋_GB2312"/>
          <w:sz w:val="24"/>
          <w:highlight w:val="none"/>
        </w:rPr>
        <w:t>招标方将按《检修质量、进度考核实施细则</w:t>
      </w:r>
      <w:r>
        <w:rPr>
          <w:rFonts w:hint="eastAsia" w:ascii="仿宋_GB2312" w:hAnsi="宋体" w:eastAsia="仿宋_GB2312"/>
          <w:sz w:val="24"/>
          <w:highlight w:val="none"/>
          <w:lang w:eastAsia="zh-CN"/>
        </w:rPr>
        <w:t>》《</w:t>
      </w:r>
      <w:r>
        <w:rPr>
          <w:rFonts w:hint="eastAsia" w:ascii="仿宋_GB2312" w:hAnsi="宋体" w:eastAsia="仿宋_GB2312"/>
          <w:sz w:val="24"/>
          <w:highlight w:val="none"/>
        </w:rPr>
        <w:t>检修安全文明施工、事故、环保考核实施细则》</w:t>
      </w:r>
      <w:r>
        <w:rPr>
          <w:rFonts w:hint="eastAsia" w:ascii="仿宋_GB2312" w:hAnsi="宋体" w:eastAsia="仿宋_GB2312"/>
          <w:sz w:val="24"/>
          <w:highlight w:val="none"/>
          <w:lang w:val="en-US" w:eastAsia="zh-CN"/>
        </w:rPr>
        <w:t>等招标方有关规定</w:t>
      </w:r>
      <w:r>
        <w:rPr>
          <w:rFonts w:hint="eastAsia" w:ascii="仿宋_GB2312" w:hAnsi="宋体" w:eastAsia="仿宋_GB2312"/>
          <w:sz w:val="24"/>
          <w:highlight w:val="none"/>
        </w:rPr>
        <w:t>严格考核。考核不代替合同中进度、质量、安全、环保相关条款，不免除投标方的责任，如与合同抵触，以合同为准。</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在签订合同之后，到投标方开始施工之日</w:t>
      </w:r>
      <w:r>
        <w:rPr>
          <w:rFonts w:hint="eastAsia" w:ascii="仿宋_GB2312" w:hAnsi="宋体" w:eastAsia="仿宋_GB2312"/>
          <w:sz w:val="24"/>
          <w:highlight w:val="none"/>
          <w:lang w:val="en-US" w:eastAsia="zh-CN"/>
        </w:rPr>
        <w:t>前</w:t>
      </w:r>
      <w:r>
        <w:rPr>
          <w:rFonts w:hint="eastAsia" w:ascii="仿宋_GB2312" w:hAnsi="宋体" w:eastAsia="仿宋_GB2312"/>
          <w:sz w:val="24"/>
          <w:highlight w:val="none"/>
        </w:rPr>
        <w:t>的这段时间内，招标方有权提出因规范、标准和规程发生变化而产生的一些补充修改要求，投标方应遵守这个要求，具体款项内容由招、投标方商定。</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本技术规范书所使用的标准，如遇与招标方所执行的标准不一致时，按较高的标准执行。如果本技术规范书与现行使用的有关国家标准以及部颁标准有明显抵触的条文，投标方应及时书面通知招标方进行解决。</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投标方提供的文件，包括图纸、计算、说明、使用手册等，均应使用国际单位制（SI）。所有文件、工程图纸及相互通讯，均须使用简体中文。</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双方共同签署的会议纪要、补充文件将作为合同的有效附件，具有相同的法律效力。</w:t>
      </w:r>
    </w:p>
    <w:p>
      <w:pPr>
        <w:numPr>
          <w:ilvl w:val="0"/>
          <w:numId w:val="3"/>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投标方在施工期间不得以任何理由损坏、损伤招标方设备</w:t>
      </w:r>
      <w:r>
        <w:rPr>
          <w:rFonts w:hint="eastAsia" w:ascii="仿宋_GB2312" w:hAnsi="宋体" w:eastAsia="仿宋_GB2312"/>
          <w:sz w:val="24"/>
          <w:highlight w:val="none"/>
          <w:lang w:val="en-US" w:eastAsia="zh-CN"/>
        </w:rPr>
        <w:t>或误碰招标方运行设备</w:t>
      </w:r>
      <w:r>
        <w:rPr>
          <w:rFonts w:hint="eastAsia" w:ascii="仿宋_GB2312" w:hAnsi="宋体" w:eastAsia="仿宋_GB2312"/>
          <w:sz w:val="24"/>
          <w:highlight w:val="none"/>
          <w:lang w:eastAsia="zh-CN"/>
        </w:rPr>
        <w:t>，</w:t>
      </w:r>
      <w:r>
        <w:rPr>
          <w:rFonts w:hint="eastAsia" w:ascii="仿宋_GB2312" w:hAnsi="宋体" w:eastAsia="仿宋_GB2312"/>
          <w:sz w:val="24"/>
          <w:highlight w:val="none"/>
        </w:rPr>
        <w:t>否则一切损失由投标方负责赔偿。</w:t>
      </w:r>
    </w:p>
    <w:p>
      <w:pPr>
        <w:pStyle w:val="2"/>
        <w:spacing w:line="240" w:lineRule="auto"/>
        <w:rPr>
          <w:rFonts w:hint="eastAsia" w:ascii="仿宋_GB2312" w:hAnsi="楷体" w:eastAsia="仿宋_GB2312"/>
          <w:szCs w:val="24"/>
          <w:highlight w:val="none"/>
        </w:rPr>
      </w:pPr>
      <w:bookmarkStart w:id="1" w:name="_Toc20927"/>
      <w:r>
        <w:rPr>
          <w:rFonts w:hint="eastAsia" w:ascii="仿宋_GB2312" w:hAnsi="楷体" w:eastAsia="仿宋_GB2312"/>
          <w:szCs w:val="24"/>
          <w:highlight w:val="none"/>
        </w:rPr>
        <w:t>公司概况、环境条件概述、设备防腐范围</w:t>
      </w:r>
      <w:bookmarkEnd w:id="1"/>
    </w:p>
    <w:p>
      <w:pPr>
        <w:numPr>
          <w:ilvl w:val="0"/>
          <w:numId w:val="4"/>
        </w:numPr>
        <w:ind w:left="425" w:hanging="425"/>
        <w:jc w:val="left"/>
        <w:rPr>
          <w:rFonts w:ascii="仿宋_GB2312" w:hAnsi="宋体" w:eastAsia="仿宋_GB2312"/>
          <w:sz w:val="24"/>
          <w:highlight w:val="none"/>
        </w:rPr>
      </w:pPr>
      <w:r>
        <w:rPr>
          <w:rFonts w:hint="eastAsia" w:ascii="仿宋_GB2312" w:hAnsi="宋体" w:eastAsia="仿宋_GB2312"/>
          <w:sz w:val="24"/>
          <w:highlight w:val="none"/>
        </w:rPr>
        <w:t>泸州川南发电公司概况</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电厂厂址位于泸州市江阳区江北镇，西北距江北镇约600m，东北距泸州市区边缘直线距离约15km，公路距离约30km，东面距纳溪区约7.5km，南面距长江北岸约2km，北面距泸州机场跑道轴线延长方向约2km。</w:t>
      </w:r>
    </w:p>
    <w:p>
      <w:pPr>
        <w:numPr>
          <w:ilvl w:val="0"/>
          <w:numId w:val="4"/>
        </w:numPr>
        <w:ind w:left="425" w:hanging="425"/>
        <w:jc w:val="left"/>
        <w:rPr>
          <w:rFonts w:hint="eastAsia" w:ascii="仿宋_GB2312" w:hAnsi="宋体" w:eastAsia="仿宋_GB2312"/>
          <w:sz w:val="24"/>
          <w:highlight w:val="none"/>
        </w:rPr>
      </w:pPr>
      <w:r>
        <w:rPr>
          <w:rFonts w:hint="eastAsia" w:ascii="仿宋_GB2312" w:hAnsi="宋体" w:eastAsia="仿宋_GB2312"/>
          <w:sz w:val="24"/>
          <w:highlight w:val="none"/>
        </w:rPr>
        <w:t xml:space="preserve"> 泸州川南发电公司环境条件</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多年平均气压</w:t>
      </w:r>
      <w:r>
        <w:rPr>
          <w:rFonts w:hint="eastAsia" w:ascii="仿宋_GB2312" w:hAnsi="宋体" w:eastAsia="仿宋_GB2312"/>
          <w:sz w:val="24"/>
          <w:highlight w:val="none"/>
        </w:rPr>
        <w:tab/>
      </w:r>
      <w:r>
        <w:rPr>
          <w:rFonts w:hint="eastAsia" w:ascii="仿宋_GB2312" w:hAnsi="宋体" w:eastAsia="仿宋_GB2312"/>
          <w:sz w:val="24"/>
          <w:highlight w:val="none"/>
        </w:rPr>
        <w:t>973.2 hpa</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多年最高气压</w:t>
      </w:r>
      <w:r>
        <w:rPr>
          <w:rFonts w:hint="eastAsia" w:ascii="仿宋_GB2312" w:hAnsi="宋体" w:eastAsia="仿宋_GB2312"/>
          <w:sz w:val="24"/>
          <w:highlight w:val="none"/>
        </w:rPr>
        <w:tab/>
      </w:r>
      <w:r>
        <w:rPr>
          <w:rFonts w:hint="eastAsia" w:ascii="仿宋_GB2312" w:hAnsi="宋体" w:eastAsia="仿宋_GB2312"/>
          <w:sz w:val="24"/>
          <w:highlight w:val="none"/>
        </w:rPr>
        <w:t>1001.4 hpa（1969年4月4日）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多年最低气压</w:t>
      </w:r>
      <w:r>
        <w:rPr>
          <w:rFonts w:hint="eastAsia" w:ascii="仿宋_GB2312" w:hAnsi="宋体" w:eastAsia="仿宋_GB2312"/>
          <w:sz w:val="24"/>
          <w:highlight w:val="none"/>
        </w:rPr>
        <w:tab/>
      </w:r>
      <w:r>
        <w:rPr>
          <w:rFonts w:hint="eastAsia" w:ascii="仿宋_GB2312" w:hAnsi="宋体" w:eastAsia="仿宋_GB2312"/>
          <w:sz w:val="24"/>
          <w:highlight w:val="none"/>
        </w:rPr>
        <w:t>946.8 hpa（1991年5月24日）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多年平均气温</w:t>
      </w:r>
      <w:r>
        <w:rPr>
          <w:rFonts w:hint="eastAsia" w:ascii="仿宋_GB2312" w:hAnsi="宋体" w:eastAsia="仿宋_GB2312"/>
          <w:sz w:val="24"/>
          <w:highlight w:val="none"/>
        </w:rPr>
        <w:tab/>
      </w:r>
      <w:r>
        <w:rPr>
          <w:rFonts w:hint="eastAsia" w:ascii="仿宋_GB2312" w:hAnsi="宋体" w:eastAsia="仿宋_GB2312"/>
          <w:sz w:val="24"/>
          <w:highlight w:val="none"/>
        </w:rPr>
        <w:t>17.6℃</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多年最高气温</w:t>
      </w:r>
      <w:r>
        <w:rPr>
          <w:rFonts w:hint="eastAsia" w:ascii="仿宋_GB2312" w:hAnsi="宋体" w:eastAsia="仿宋_GB2312"/>
          <w:sz w:val="24"/>
          <w:highlight w:val="none"/>
        </w:rPr>
        <w:tab/>
      </w:r>
      <w:r>
        <w:rPr>
          <w:rFonts w:hint="eastAsia" w:ascii="仿宋_GB2312" w:hAnsi="宋体" w:eastAsia="仿宋_GB2312"/>
          <w:sz w:val="24"/>
          <w:highlight w:val="none"/>
        </w:rPr>
        <w:t>40.2℃（1972年8月26日）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多年最低气温</w:t>
      </w:r>
      <w:r>
        <w:rPr>
          <w:rFonts w:hint="eastAsia" w:ascii="仿宋_GB2312" w:hAnsi="宋体" w:eastAsia="仿宋_GB2312"/>
          <w:sz w:val="24"/>
          <w:highlight w:val="none"/>
        </w:rPr>
        <w:tab/>
      </w:r>
      <w:r>
        <w:rPr>
          <w:rFonts w:hint="eastAsia" w:ascii="仿宋_GB2312" w:hAnsi="宋体" w:eastAsia="仿宋_GB2312"/>
          <w:sz w:val="24"/>
          <w:highlight w:val="none"/>
        </w:rPr>
        <w:t>-1.6℃（1989年1月14日）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最热月平均最高气温（8月）</w:t>
      </w:r>
      <w:r>
        <w:rPr>
          <w:rFonts w:hint="eastAsia" w:ascii="仿宋_GB2312" w:hAnsi="宋体" w:eastAsia="仿宋_GB2312"/>
          <w:sz w:val="24"/>
          <w:highlight w:val="none"/>
        </w:rPr>
        <w:tab/>
      </w:r>
      <w:r>
        <w:rPr>
          <w:rFonts w:hint="eastAsia" w:ascii="仿宋_GB2312" w:hAnsi="宋体" w:eastAsia="仿宋_GB2312"/>
          <w:sz w:val="24"/>
          <w:highlight w:val="none"/>
        </w:rPr>
        <w:t>31.4℃</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最近10a最大日温差</w:t>
      </w:r>
      <w:r>
        <w:rPr>
          <w:rFonts w:hint="eastAsia" w:ascii="仿宋_GB2312" w:hAnsi="宋体" w:eastAsia="仿宋_GB2312"/>
          <w:sz w:val="24"/>
          <w:highlight w:val="none"/>
        </w:rPr>
        <w:tab/>
      </w:r>
      <w:r>
        <w:rPr>
          <w:rFonts w:hint="eastAsia" w:ascii="仿宋_GB2312" w:hAnsi="宋体" w:eastAsia="仿宋_GB2312"/>
          <w:sz w:val="24"/>
          <w:highlight w:val="none"/>
        </w:rPr>
        <w:t>16.5℃（1998年4月24日）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 xml:space="preserve">多年平均相对湿度          </w:t>
      </w:r>
      <w:r>
        <w:rPr>
          <w:rFonts w:hint="eastAsia" w:ascii="仿宋_GB2312" w:hAnsi="宋体" w:eastAsia="仿宋_GB2312"/>
          <w:sz w:val="24"/>
          <w:highlight w:val="none"/>
        </w:rPr>
        <w:tab/>
      </w:r>
      <w:r>
        <w:rPr>
          <w:rFonts w:hint="eastAsia" w:ascii="仿宋_GB2312" w:hAnsi="宋体" w:eastAsia="仿宋_GB2312"/>
          <w:sz w:val="24"/>
          <w:highlight w:val="none"/>
        </w:rPr>
        <w:t>84%</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最大冻土深度</w:t>
      </w:r>
      <w:r>
        <w:rPr>
          <w:rFonts w:hint="eastAsia" w:ascii="仿宋_GB2312" w:hAnsi="宋体" w:eastAsia="仿宋_GB2312"/>
          <w:sz w:val="24"/>
          <w:highlight w:val="none"/>
        </w:rPr>
        <w:tab/>
      </w:r>
      <w:r>
        <w:rPr>
          <w:rFonts w:hint="eastAsia" w:ascii="仿宋_GB2312" w:hAnsi="宋体" w:eastAsia="仿宋_GB2312"/>
          <w:sz w:val="24"/>
          <w:highlight w:val="none"/>
        </w:rPr>
        <w:t xml:space="preserve">              该地区无冻土</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多年年平均降雨量：</w:t>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 xml:space="preserve">        1022.7mm</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多年一日最大降雨量：</w:t>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 xml:space="preserve">      160.5mm</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多年平均风速：</w:t>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 xml:space="preserve">            1.2m/s</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离地10m高50a一遇10min平均最大风速：</w:t>
      </w:r>
      <w:r>
        <w:rPr>
          <w:rFonts w:hint="eastAsia" w:ascii="仿宋_GB2312" w:hAnsi="宋体" w:eastAsia="仿宋_GB2312"/>
          <w:sz w:val="24"/>
          <w:highlight w:val="none"/>
        </w:rPr>
        <w:tab/>
      </w:r>
      <w:r>
        <w:rPr>
          <w:rFonts w:hint="eastAsia" w:ascii="仿宋_GB2312" w:hAnsi="宋体" w:eastAsia="仿宋_GB2312"/>
          <w:sz w:val="24"/>
          <w:highlight w:val="none"/>
        </w:rPr>
        <w:t>24.0m/s</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离地10m高30a一遇10min平均最大风速：</w:t>
      </w:r>
      <w:r>
        <w:rPr>
          <w:rFonts w:hint="eastAsia" w:ascii="仿宋_GB2312" w:hAnsi="宋体" w:eastAsia="仿宋_GB2312"/>
          <w:sz w:val="24"/>
          <w:highlight w:val="none"/>
        </w:rPr>
        <w:tab/>
      </w:r>
      <w:r>
        <w:rPr>
          <w:rFonts w:hint="eastAsia" w:ascii="仿宋_GB2312" w:hAnsi="宋体" w:eastAsia="仿宋_GB2312"/>
          <w:sz w:val="24"/>
          <w:highlight w:val="none"/>
        </w:rPr>
        <w:t>21.9m/s</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多年年平均降水日数：</w:t>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ab/>
      </w:r>
      <w:r>
        <w:rPr>
          <w:rFonts w:hint="eastAsia" w:ascii="仿宋_GB2312" w:hAnsi="宋体" w:eastAsia="仿宋_GB2312"/>
          <w:sz w:val="24"/>
          <w:highlight w:val="none"/>
        </w:rPr>
        <w:t xml:space="preserve">      159.9d</w:t>
      </w:r>
    </w:p>
    <w:p>
      <w:pPr>
        <w:numPr>
          <w:ilvl w:val="0"/>
          <w:numId w:val="4"/>
        </w:numPr>
        <w:ind w:left="425" w:hanging="425"/>
        <w:jc w:val="left"/>
        <w:rPr>
          <w:rFonts w:hint="eastAsia" w:ascii="仿宋_GB2312" w:hAnsi="宋体" w:eastAsia="仿宋_GB2312"/>
          <w:sz w:val="24"/>
          <w:highlight w:val="none"/>
        </w:rPr>
      </w:pPr>
      <w:r>
        <w:rPr>
          <w:rFonts w:hint="eastAsia" w:ascii="仿宋_GB2312" w:hAnsi="宋体" w:eastAsia="仿宋_GB2312"/>
          <w:sz w:val="24"/>
          <w:highlight w:val="none"/>
        </w:rPr>
        <w:t>设备防腐</w:t>
      </w:r>
      <w:r>
        <w:rPr>
          <w:rFonts w:hint="eastAsia" w:ascii="仿宋_GB2312" w:hAnsi="宋体" w:eastAsia="仿宋_GB2312"/>
          <w:sz w:val="24"/>
          <w:highlight w:val="none"/>
          <w:lang w:val="en-US" w:eastAsia="zh-CN"/>
        </w:rPr>
        <w:t>工作</w:t>
      </w:r>
      <w:r>
        <w:rPr>
          <w:rFonts w:hint="eastAsia" w:ascii="仿宋_GB2312" w:hAnsi="宋体" w:eastAsia="仿宋_GB2312"/>
          <w:sz w:val="24"/>
          <w:highlight w:val="none"/>
        </w:rPr>
        <w:t>范围</w:t>
      </w:r>
      <w:r>
        <w:rPr>
          <w:rFonts w:hint="eastAsia" w:ascii="仿宋_GB2312" w:hAnsi="宋体" w:eastAsia="仿宋_GB2312"/>
          <w:sz w:val="24"/>
          <w:highlight w:val="none"/>
          <w:lang w:val="en-US" w:eastAsia="zh-CN"/>
        </w:rPr>
        <w:t>及内容</w:t>
      </w:r>
    </w:p>
    <w:tbl>
      <w:tblPr>
        <w:tblStyle w:val="10"/>
        <w:tblW w:w="7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57"/>
        <w:gridCol w:w="3107"/>
        <w:gridCol w:w="793"/>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highlight w:val="none"/>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序号</w:t>
            </w: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系统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设备名称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估算面积(m</w:t>
            </w:r>
            <w:r>
              <w:rPr>
                <w:rStyle w:val="21"/>
                <w:rFonts w:hint="eastAsia" w:asciiTheme="minorEastAsia" w:hAnsiTheme="minorEastAsia" w:eastAsiaTheme="minorEastAsia" w:cstheme="minorEastAsia"/>
                <w:sz w:val="15"/>
                <w:szCs w:val="15"/>
                <w:highlight w:val="none"/>
                <w:lang w:val="en-US" w:eastAsia="zh-CN" w:bidi="ar"/>
              </w:rPr>
              <w:t>²</w:t>
            </w: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规格型号</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#1炉一级吸收塔</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φ16.8米，高14m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#1、2炉一级塔石膏排出泵至#1\2脱水机、#3\4脱水机、事故搅拌器（综合管架上）</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90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φ273mm，长100m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抽滤水至废水管道</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φ108mm，长90m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滤液水系统B至#1、2吸收塔管道</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φ200mm，长95m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#2石灰石浆液箱至#1、2一级吸收塔给浆管道</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φ159mm，长100m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#1石灰石浆液箱至1、2一级塔给浆管道</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φ125mm，长100m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工艺水至吸收塔等用水管道</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φ89,100m</w:t>
            </w:r>
          </w:p>
        </w:tc>
        <w:tc>
          <w:tcPr>
            <w:tcW w:w="1296" w:type="dxa"/>
            <w:noWrap w:val="0"/>
            <w:vAlign w:val="center"/>
          </w:tcPr>
          <w:p>
            <w:pPr>
              <w:jc w:val="left"/>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#1机组脱硫吸收塔给浆操作平台至吸收塔标高40.5m扶梯平台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（1）更换钢格栅板25㎡</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（2）更换280×800mm踏步板15块</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（3）更换200×800mm踏步板40块 （4）更换φ32栏杆50m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（5）更换φ25栏杆60m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（6）更换#10踢脚板30m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#1机组脱硫吸收塔Z字扶梯至给浆平台天桥标高16.6m平台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（1）更换钢格栅板2.8㎡    （2）更换#16槽钢8m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（3）更换φ32栏杆15m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（4）更换φ25栏杆20m     （5）防腐10㎡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#1机组脱硫吸收塔Z字扶梯至托盘层人孔天桥标高19.5m平台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（1）更换钢格栅板2.8㎡    （2）更换#16槽钢8m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（3）更换φ32栏杆15m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（4）更换φ25栏杆20m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#1机组脱硫吸收塔靠锅炉侧GGH平台至一级塔氧化风支管冲洗水平台天桥</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（1）更换钢格栅板3.6㎡    （2）更换#16槽钢15m</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#1机组脱硫吸收塔氧化风支管冲洗水平台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（1）更换钢格栅板8㎡</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（2）更换#10槽钢10m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#1机组脱硫原烟道A、B侧13.2m至23.3m扶梯平台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180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（1）更换钢格栅板2㎡</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（2）更换200</w:t>
            </w:r>
            <w:r>
              <w:rPr>
                <w:rStyle w:val="22"/>
                <w:rFonts w:hint="eastAsia" w:asciiTheme="minorEastAsia" w:hAnsiTheme="minorEastAsia" w:eastAsiaTheme="minorEastAsia" w:cstheme="minorEastAsia"/>
                <w:sz w:val="15"/>
                <w:szCs w:val="15"/>
                <w:highlight w:val="none"/>
                <w:lang w:val="en-US" w:eastAsia="zh-CN" w:bidi="ar"/>
              </w:rPr>
              <w:t>×</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800mm踏步板5块（3）更换φ32栏杆20m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（4）更换φ25栏杆40m</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#1机组脱硫净烟道A、B侧13.2m至23.3m扶梯平台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（1）更换钢格栅板2㎡</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（2）更换200×800mm踏步板5块（3）更换φ32栏杆20m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（4）更换φ25栏杆40m</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#2机组脱硫吸收塔靠锅炉侧GGH平台至一级塔氧化风支管冲洗水平台天桥</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（1）更换钢格栅板3.6㎡     （2）更换#16槽钢15m</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#2机组脱硫吸收塔氧化风支管冲洗水平台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（1）更换钢格栅板4㎡</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（2）更换#10槽钢10m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#2机组脱硫原烟道A、B侧13.2m至23.3m扶梯平台及顶部平台延伸4m</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（1）更换钢格栅板40㎡</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（2）更换200×800mm踏步板60块（3）更换φ32栏杆60m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（4）更换φ25栏杆80m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（5）更换#10踢脚板30m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（6）更换#16槽钢40m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#2机组脱硫净烟道A、B侧13.2m至23.3m扶梯平台及顶部平台延伸4m</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（1）更换钢格栅板5㎡</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（2）更换200×800mm踏步板10块</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（3）更换φ32栏杆20m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（4）更换φ25栏杆40m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（5）更换#10踢脚板5m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（6）更换#16槽钢18m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#3、#4石膏旋流站操作平台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90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（1）更换树脂格栅板30㎡   （2）更换φ32栏杆12m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（3）更换φ25栏杆24m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（4）更换#10踢脚板4m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（5）更换#16槽钢24m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脱硫综合管架操作平台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更换钢格栅板25㎡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#3、#4斗提机顶部减速机平台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（1）更换钢格栅板18㎡     （2）需更换#16槽钢42m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color w:val="FF0000"/>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#1、#2斗提机顶部平台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FF0000"/>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（1）更换φ32栏杆12m</w:t>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（2）更换φ25栏杆24m      </w:t>
            </w:r>
          </w:p>
        </w:tc>
        <w:tc>
          <w:tcPr>
            <w:tcW w:w="1296" w:type="dxa"/>
            <w:noWrap w:val="0"/>
            <w:vAlign w:val="center"/>
          </w:tcPr>
          <w:p>
            <w:pP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sz w:val="15"/>
                <w:szCs w:val="15"/>
                <w:highlight w:val="none"/>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脱硫（机务二队）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#1、#2斗提机顶部减速机平台</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5"/>
                <w:szCs w:val="15"/>
                <w:highlight w:val="none"/>
                <w:lang w:val="en-US" w:eastAsia="zh-CN"/>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5"/>
                <w:szCs w:val="15"/>
                <w:highlight w:val="none"/>
                <w:lang w:val="en-US" w:eastAsia="zh-CN" w:bidi="ar-SA"/>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 xml:space="preserve">（1）更换钢格栅板18㎡          （2）需更换#16槽钢42m    </w:t>
            </w:r>
          </w:p>
        </w:tc>
        <w:tc>
          <w:tcPr>
            <w:tcW w:w="1296" w:type="dxa"/>
            <w:noWrap w:val="0"/>
            <w:vAlign w:val="center"/>
          </w:tcPr>
          <w:p>
            <w:pP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除灰（机务二队）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#1炉、#2炉电除尘振打平台中部网格板下方支撑</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槽钢120*60mm，两台炉共160m</w:t>
            </w:r>
          </w:p>
        </w:tc>
        <w:tc>
          <w:tcPr>
            <w:tcW w:w="1296" w:type="dxa"/>
            <w:noWrap w:val="0"/>
            <w:vAlign w:val="center"/>
          </w:tcPr>
          <w:p>
            <w:pP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除灰（机务二队）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#1炉、#2炉电除尘标高0米至灰斗平台A\B侧方梁、斜撑</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横梁250*185mm，两台炉共120m，斜撑260*65mm,两台炉共100m</w:t>
            </w:r>
          </w:p>
        </w:tc>
        <w:tc>
          <w:tcPr>
            <w:tcW w:w="1296" w:type="dxa"/>
            <w:noWrap w:val="0"/>
            <w:vAlign w:val="center"/>
          </w:tcPr>
          <w:p>
            <w:pP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除灰（机务二队）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原除灰控制楼靠烟囱侧楼梯</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70</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汽包水位、压力变送取样管（1#、2#机组）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28.9</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总长576米，管外径16mm。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过热器二级减温水流量变送器取样管（1#、2#机组）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6.4</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总长128米，管外径16mm。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再热器减温水流量变送器取样管（1#、2#机组）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总长160米，管外径16mm。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空预器风压变送器取样管（1#、2#机组）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总长120米，管外径16mm。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高压调节阀后蒸汽压力取样管（1#机组）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12.57</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总长250米，管外径16mm。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高压调节级后蒸汽压力取样管（1#机组）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10.05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总长200米，管外径16mm。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热工</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主汽压力取样管（1#机组）</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4.02</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总长80米，管外径16mm。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电气</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主变围栏、升压站围栏</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1550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围栏总长度900米，高1.5米；围栏支柱210个，单个面积0.5m²</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防锈底漆，面漆为珍珠白色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综合管理部</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两辆消防车水箱内壁防腐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62</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水箱容积6+3m³</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玻璃钢（环氧树脂+玻璃丝布）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#2A、B皮带支架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270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槽钢8#:93m;7#:217m;10#:186m;工字钢14b:207m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#3A、B皮带头部滚筒支架、皮带支架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槽钢8#:17m;7#:40m;10#:35m;工字钢14b:38m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#4A、B皮带头部滚筒支架、尾部滚筒支架、皮带支架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250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槽钢8#:86m;7#:201m;10#:173m;工字钢14b:192m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#5A尾部滚筒支架、尾部皮带支架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槽钢8#:16m;7#:36m;10#:31m;工字钢14b:35m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#5A头部滚筒支架、头部皮带支架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槽钢8#:41m;7#:97m;10#:83m;工字钢14b:92m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#5B头部滚筒支架、头部皮带支架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槽钢8#:26m;7#:60m;10#:52m;工字钢14b:58m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#5B尾部滚筒支架、尾部皮带支架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槽钢8#:48m;7#:113m;10#:97m;工字钢14b:107m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#6A尾部滚筒支架、尾部皮带支架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槽钢8#:26m;7#:60m;10#:52m;工字钢14b:58m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#6A头部滚筒支架、头部皮带支架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槽钢8#:26m;7#:60m;10#:52m;工字钢14b:58m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#6B尾部滚筒支架、尾部皮带支架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槽钢8#:14m;7#:32m;10#:28m;工字钢14b:31m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#7A尾部滚筒支架、尾部皮带支架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槽钢8#:14m;7#:32m;10#:28m;工字钢14b:31m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#7A头部滚筒支架、头部皮带支架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槽钢8#:14m;7#:32m;10#:28m;工字钢14b:31m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#7B尾部滚筒支架、尾部皮带支架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槽钢8#:14m;7#:32m;10#:28m;工字钢14b:31m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#8A头部机脚、头部滚筒支架、头部皮带支架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槽钢8#:14m;7#:32m;10#:28m;工字钢14b:31m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#8B头部机脚、头部滚筒支架、头部皮带支架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60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槽钢8#:21m;7#:48m;10#:41m;工字钢工字钢14b:46m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#9A尾部滚筒支架、尾部皮带支架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120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槽钢8#:41m;7#:97m;10#:83m;工字钢工字钢14b:92m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#9B中间冲水区域</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槽钢8#:26m;7#:60m;10#:52m;工字钢工字钢14b:58m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#10A尾部滚筒支架、尾部皮带支架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槽钢8#:16m;7#:36m;10#:31m;工字钢工字钢14b:35m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spacing w:after="240" w:afterAutospacing="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#10B尾部滚筒支架、尾部皮带支架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槽钢8#:16m;7#:36m;10#:31m;工字钢工字钢14b:35m</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A/B活化给煤机支架</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工字钢40#A，74米</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B斗轮机整体防腐。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1400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斗轮机型号：DQ1500/1500·35型</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翻车机B中间栏杆防腐。吊装口栏杆防腐。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100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FZ1-2B“C”DN:50管子；300米</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both"/>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1号栈桥移动头平台、栏杆防腐。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150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平台长：10米 宽8米；DN:50管道；400米</w:t>
            </w:r>
          </w:p>
        </w:tc>
        <w:tc>
          <w:tcPr>
            <w:tcW w:w="1296" w:type="dxa"/>
            <w:noWrap w:val="0"/>
            <w:vAlign w:val="center"/>
          </w:tcPr>
          <w:p>
            <w:pPr>
              <w:jc w:val="left"/>
              <w:rPr>
                <w:rFonts w:hint="eastAsia" w:asciiTheme="minorEastAsia" w:hAnsiTheme="minorEastAsia" w:eastAsiaTheme="minorEastAsia" w:cstheme="minorEastAsia"/>
                <w:b/>
                <w:bCs/>
                <w:i w:val="0"/>
                <w:iCs w:val="0"/>
                <w:color w:val="FF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输煤（机务一队）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11A皮带室外支架、栏杆及尾部涨紧小车防腐。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280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槽钢8#:16m;7#:36m;10#:31m;工字钢14b:100m</w:t>
            </w:r>
          </w:p>
        </w:tc>
        <w:tc>
          <w:tcPr>
            <w:tcW w:w="1296" w:type="dxa"/>
            <w:noWrap w:val="0"/>
            <w:vAlign w:val="center"/>
          </w:tcPr>
          <w:p>
            <w:pPr>
              <w:jc w:val="left"/>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沉沙池进出口管道，及排污管道防腐。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115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DN800管道约45米</w:t>
            </w:r>
          </w:p>
        </w:tc>
        <w:tc>
          <w:tcPr>
            <w:tcW w:w="1296" w:type="dxa"/>
            <w:noWrap w:val="0"/>
            <w:vAlign w:val="center"/>
          </w:tcPr>
          <w:p>
            <w:pPr>
              <w:jc w:val="left"/>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11B皮带室外支架、栏杆及尾部涨紧小车防腐。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280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槽钢8#:16m;7#:36m;10#:31m;工字钢14b:100m</w:t>
            </w:r>
          </w:p>
        </w:tc>
        <w:tc>
          <w:tcPr>
            <w:tcW w:w="1296" w:type="dxa"/>
            <w:noWrap w:val="0"/>
            <w:vAlign w:val="center"/>
          </w:tcPr>
          <w:p>
            <w:pPr>
              <w:jc w:val="left"/>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工业废水酸罐罐体及支撑架防腐。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70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罐体直径约2500mm*7000mm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危险化学品、易燃易爆区域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综合水泵房至捞渣机处T型路口工业水母管。</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235</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DN500*150m</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底漆两遍，三油两布，工业水母管防腐需要制定专项施工方案。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工业废水压缩空气罐及支撑脚防腐。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40</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立式罐体（大）：直径1500mm*3600mm；小管：直径800mm*2000mm</w:t>
            </w:r>
          </w:p>
        </w:tc>
        <w:tc>
          <w:tcPr>
            <w:tcW w:w="1296" w:type="dxa"/>
            <w:noWrap w:val="0"/>
            <w:vAlign w:val="center"/>
          </w:tcPr>
          <w:p>
            <w:pPr>
              <w:jc w:val="left"/>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noWrap w:val="0"/>
            <w:vAlign w:val="center"/>
          </w:tcPr>
          <w:p>
            <w:pPr>
              <w:keepNext w:val="0"/>
              <w:keepLines w:val="0"/>
              <w:widowControl/>
              <w:numPr>
                <w:ilvl w:val="0"/>
                <w:numId w:val="5"/>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85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化水（机务一队）</w:t>
            </w:r>
          </w:p>
        </w:tc>
        <w:tc>
          <w:tcPr>
            <w:tcW w:w="31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含油废水收集池区域栏杆、罐体、管道、地面盖板防腐。</w:t>
            </w:r>
          </w:p>
        </w:tc>
        <w:tc>
          <w:tcPr>
            <w:tcW w:w="793"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33</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i w:val="0"/>
                <w:iCs w:val="0"/>
                <w:color w:val="000000"/>
                <w:kern w:val="0"/>
                <w:sz w:val="15"/>
                <w:szCs w:val="15"/>
                <w:highlight w:val="none"/>
                <w:u w:val="none"/>
                <w:lang w:val="en-US" w:eastAsia="zh-CN" w:bidi="ar"/>
              </w:rPr>
              <w:t>Φ61mm*80m；Φ90mm*18m；扁铁30mm*90m；铁板400mm*3m</w:t>
            </w:r>
          </w:p>
        </w:tc>
        <w:tc>
          <w:tcPr>
            <w:tcW w:w="1296" w:type="dxa"/>
            <w:noWrap w:val="0"/>
            <w:vAlign w:val="center"/>
          </w:tcPr>
          <w:p>
            <w:pPr>
              <w:jc w:val="left"/>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gridSpan w:val="3"/>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合计</w:t>
            </w:r>
          </w:p>
        </w:tc>
        <w:tc>
          <w:tcPr>
            <w:tcW w:w="793"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15"/>
                <w:szCs w:val="15"/>
                <w:highlight w:val="none"/>
                <w:u w:val="none"/>
                <w:lang w:val="en-US" w:eastAsia="zh-CN" w:bidi="ar"/>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9343.51</w:t>
            </w: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c>
          <w:tcPr>
            <w:tcW w:w="129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5"/>
                <w:szCs w:val="15"/>
                <w:highlight w:val="none"/>
                <w:u w:val="none"/>
                <w:lang w:val="en-US" w:eastAsia="zh-CN" w:bidi="ar"/>
              </w:rPr>
            </w:pPr>
          </w:p>
        </w:tc>
      </w:tr>
    </w:tbl>
    <w:p>
      <w:pPr>
        <w:numPr>
          <w:ilvl w:val="0"/>
          <w:numId w:val="0"/>
        </w:numPr>
        <w:ind w:left="420" w:leftChars="0"/>
        <w:rPr>
          <w:rFonts w:hint="eastAsia" w:ascii="仿宋_GB2312" w:hAnsi="宋体" w:eastAsia="仿宋_GB2312"/>
          <w:b/>
          <w:color w:val="auto"/>
          <w:highlight w:val="none"/>
          <w:lang w:val="en-US" w:eastAsia="zh-CN"/>
        </w:rPr>
      </w:pPr>
      <w:r>
        <w:rPr>
          <w:rFonts w:hint="eastAsia" w:ascii="仿宋_GB2312" w:hAnsi="宋体" w:eastAsia="仿宋_GB2312"/>
          <w:b/>
          <w:color w:val="auto"/>
          <w:highlight w:val="none"/>
          <w:lang w:val="en-US" w:eastAsia="zh-CN"/>
        </w:rPr>
        <w:t>备注：本技术规范书中所列防腐项目的面积为该项目的结算面积。投标方在投标前应到现场进行查勘，以确保防腐部位与面积的准确性。若未到招标方现场查勘，则视为投标方认可招标方所列项目的部位与面积。若对具体部位存在争议，应以招标方所解释的位置为准；其他临时需要增加的防腐作业，经招标方复核确有必要实施，在施工前对需要防腐的部位和面积予以明确并达成一致后方可施工，否则不予计量。</w:t>
      </w:r>
    </w:p>
    <w:p>
      <w:pPr>
        <w:pStyle w:val="5"/>
        <w:spacing w:line="240" w:lineRule="auto"/>
        <w:ind w:firstLine="480" w:firstLineChars="200"/>
        <w:rPr>
          <w:rFonts w:hint="eastAsia" w:ascii="仿宋_GB2312" w:eastAsia="仿宋_GB2312"/>
          <w:color w:val="FF0000"/>
          <w:highlight w:val="none"/>
        </w:rPr>
      </w:pPr>
    </w:p>
    <w:p>
      <w:pPr>
        <w:pStyle w:val="2"/>
        <w:spacing w:line="240" w:lineRule="auto"/>
        <w:rPr>
          <w:rFonts w:hint="eastAsia" w:ascii="仿宋_GB2312" w:hAnsi="楷体" w:eastAsia="仿宋_GB2312"/>
          <w:highlight w:val="none"/>
        </w:rPr>
      </w:pPr>
      <w:bookmarkStart w:id="2" w:name="_Toc489"/>
      <w:r>
        <w:rPr>
          <w:rFonts w:hint="eastAsia" w:ascii="仿宋_GB2312" w:hAnsi="楷体" w:eastAsia="仿宋_GB2312"/>
          <w:highlight w:val="none"/>
        </w:rPr>
        <w:t>投标方供货内容及机具要求</w:t>
      </w:r>
      <w:bookmarkEnd w:id="2"/>
    </w:p>
    <w:p>
      <w:pPr>
        <w:numPr>
          <w:ilvl w:val="0"/>
          <w:numId w:val="6"/>
        </w:numPr>
        <w:jc w:val="left"/>
        <w:rPr>
          <w:rFonts w:hint="eastAsia" w:ascii="仿宋_GB2312" w:hAnsi="宋体" w:eastAsia="仿宋_GB2312"/>
          <w:sz w:val="24"/>
          <w:highlight w:val="none"/>
        </w:rPr>
      </w:pPr>
      <w:r>
        <w:rPr>
          <w:rFonts w:hint="eastAsia" w:ascii="仿宋_GB2312" w:hAnsi="宋体" w:eastAsia="仿宋_GB2312"/>
          <w:sz w:val="24"/>
          <w:highlight w:val="none"/>
        </w:rPr>
        <w:t xml:space="preserve"> 投标方提供符合本防腐范围内容中对应项目的（三峡牌）底漆、中间漆、面漆及防腐用附加材料。</w:t>
      </w:r>
    </w:p>
    <w:tbl>
      <w:tblPr>
        <w:tblStyle w:val="10"/>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4736"/>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序号</w:t>
            </w:r>
          </w:p>
        </w:tc>
        <w:tc>
          <w:tcPr>
            <w:tcW w:w="4736" w:type="dxa"/>
            <w:noWrap w:val="0"/>
            <w:vAlign w:val="top"/>
          </w:tcPr>
          <w:p>
            <w:pPr>
              <w:pStyle w:val="5"/>
              <w:spacing w:line="240" w:lineRule="auto"/>
              <w:ind w:firstLine="0"/>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油漆型号</w:t>
            </w:r>
          </w:p>
        </w:tc>
        <w:tc>
          <w:tcPr>
            <w:tcW w:w="3375" w:type="dxa"/>
            <w:noWrap w:val="0"/>
            <w:vAlign w:val="top"/>
          </w:tcPr>
          <w:p>
            <w:pPr>
              <w:pStyle w:val="5"/>
              <w:spacing w:line="240" w:lineRule="auto"/>
              <w:ind w:firstLine="0"/>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1</w:t>
            </w:r>
          </w:p>
        </w:tc>
        <w:tc>
          <w:tcPr>
            <w:tcW w:w="4736" w:type="dxa"/>
            <w:noWrap w:val="0"/>
            <w:vAlign w:val="top"/>
          </w:tcPr>
          <w:p>
            <w:pPr>
              <w:pStyle w:val="5"/>
              <w:spacing w:line="240" w:lineRule="auto"/>
              <w:ind w:firstLine="0"/>
              <w:jc w:val="both"/>
              <w:rPr>
                <w:rFonts w:hint="eastAsia" w:ascii="仿宋_GB2312" w:hAnsi="宋体" w:eastAsia="仿宋_GB2312"/>
                <w:sz w:val="21"/>
                <w:szCs w:val="21"/>
                <w:highlight w:val="none"/>
              </w:rPr>
            </w:pPr>
            <w:r>
              <w:rPr>
                <w:rFonts w:hint="eastAsia" w:ascii="仿宋_GB2312" w:hAnsi="宋体" w:eastAsia="仿宋_GB2312"/>
                <w:sz w:val="21"/>
                <w:szCs w:val="21"/>
                <w:highlight w:val="none"/>
              </w:rPr>
              <w:t>铁红渗透型带锈防锈底漆（双组份）</w:t>
            </w:r>
          </w:p>
        </w:tc>
        <w:tc>
          <w:tcPr>
            <w:tcW w:w="3375"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2</w:t>
            </w:r>
          </w:p>
        </w:tc>
        <w:tc>
          <w:tcPr>
            <w:tcW w:w="4736"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r>
              <w:rPr>
                <w:rFonts w:hint="eastAsia" w:ascii="仿宋_GB2312" w:hAnsi="宋体" w:eastAsia="仿宋_GB2312"/>
                <w:sz w:val="21"/>
                <w:szCs w:val="21"/>
                <w:highlight w:val="none"/>
              </w:rPr>
              <w:t>云铁环氧中间漆（双组分）</w:t>
            </w:r>
          </w:p>
        </w:tc>
        <w:tc>
          <w:tcPr>
            <w:tcW w:w="3375"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3</w:t>
            </w:r>
          </w:p>
        </w:tc>
        <w:tc>
          <w:tcPr>
            <w:tcW w:w="4736"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r>
              <w:rPr>
                <w:rFonts w:hint="eastAsia" w:ascii="仿宋_GB2312" w:hAnsi="宋体" w:eastAsia="仿宋_GB2312"/>
                <w:sz w:val="21"/>
                <w:szCs w:val="21"/>
                <w:highlight w:val="none"/>
              </w:rPr>
              <w:t>环氧煤沥青防腐漆（双组分）</w:t>
            </w:r>
          </w:p>
        </w:tc>
        <w:tc>
          <w:tcPr>
            <w:tcW w:w="3375"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4</w:t>
            </w:r>
          </w:p>
        </w:tc>
        <w:tc>
          <w:tcPr>
            <w:tcW w:w="4736" w:type="dxa"/>
            <w:noWrap w:val="0"/>
            <w:vAlign w:val="top"/>
          </w:tcPr>
          <w:p>
            <w:pPr>
              <w:pStyle w:val="5"/>
              <w:spacing w:line="240" w:lineRule="auto"/>
              <w:ind w:firstLine="0"/>
              <w:jc w:val="both"/>
              <w:rPr>
                <w:rFonts w:hint="eastAsia" w:ascii="仿宋_GB2312" w:hAnsi="宋体" w:eastAsia="仿宋_GB2312"/>
                <w:sz w:val="21"/>
                <w:szCs w:val="21"/>
                <w:highlight w:val="none"/>
              </w:rPr>
            </w:pPr>
            <w:r>
              <w:rPr>
                <w:rFonts w:hint="eastAsia" w:ascii="仿宋_GB2312" w:hAnsi="宋体" w:eastAsia="仿宋_GB2312"/>
                <w:sz w:val="21"/>
                <w:szCs w:val="21"/>
                <w:highlight w:val="none"/>
                <w:lang w:val="en-US" w:eastAsia="zh-CN"/>
              </w:rPr>
              <w:t>BS</w:t>
            </w:r>
            <w:r>
              <w:rPr>
                <w:rFonts w:hint="eastAsia" w:ascii="仿宋_GB2312" w:hAnsi="宋体" w:eastAsia="仿宋_GB2312"/>
                <w:sz w:val="21"/>
                <w:szCs w:val="21"/>
                <w:highlight w:val="none"/>
              </w:rPr>
              <w:t>1901脂肪族聚氨酯面漆</w:t>
            </w:r>
          </w:p>
        </w:tc>
        <w:tc>
          <w:tcPr>
            <w:tcW w:w="3375" w:type="dxa"/>
            <w:noWrap w:val="0"/>
            <w:vAlign w:val="top"/>
          </w:tcPr>
          <w:p>
            <w:pPr>
              <w:pStyle w:val="5"/>
              <w:spacing w:line="240" w:lineRule="auto"/>
              <w:ind w:firstLine="0" w:firstLineChars="0"/>
              <w:jc w:val="both"/>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044" w:type="dxa"/>
            <w:noWrap w:val="0"/>
            <w:vAlign w:val="top"/>
          </w:tcPr>
          <w:p>
            <w:pPr>
              <w:pStyle w:val="5"/>
              <w:spacing w:line="240" w:lineRule="auto"/>
              <w:ind w:firstLine="0"/>
              <w:jc w:val="center"/>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6</w:t>
            </w:r>
          </w:p>
        </w:tc>
        <w:tc>
          <w:tcPr>
            <w:tcW w:w="4736" w:type="dxa"/>
            <w:noWrap w:val="0"/>
            <w:vAlign w:val="top"/>
          </w:tcPr>
          <w:p>
            <w:pPr>
              <w:pStyle w:val="5"/>
              <w:spacing w:line="240" w:lineRule="auto"/>
              <w:ind w:firstLine="0" w:firstLineChars="0"/>
              <w:rPr>
                <w:rFonts w:hint="eastAsia" w:ascii="仿宋_GB2312" w:hAnsi="宋体" w:eastAsia="仿宋_GB2312"/>
                <w:sz w:val="21"/>
                <w:szCs w:val="21"/>
                <w:highlight w:val="none"/>
              </w:rPr>
            </w:pPr>
            <w:r>
              <w:rPr>
                <w:rFonts w:hint="eastAsia" w:ascii="仿宋_GB2312" w:hAnsi="宋体" w:eastAsia="仿宋_GB2312"/>
                <w:sz w:val="21"/>
                <w:szCs w:val="21"/>
                <w:highlight w:val="none"/>
              </w:rPr>
              <w:t>镀锌铁专用底漆</w:t>
            </w:r>
          </w:p>
        </w:tc>
        <w:tc>
          <w:tcPr>
            <w:tcW w:w="3375" w:type="dxa"/>
            <w:noWrap w:val="0"/>
            <w:vAlign w:val="top"/>
          </w:tcPr>
          <w:p>
            <w:pPr>
              <w:pStyle w:val="5"/>
              <w:spacing w:line="240" w:lineRule="auto"/>
              <w:ind w:firstLine="0" w:firstLineChars="0"/>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7</w:t>
            </w:r>
          </w:p>
        </w:tc>
        <w:tc>
          <w:tcPr>
            <w:tcW w:w="4736" w:type="dxa"/>
            <w:noWrap w:val="0"/>
            <w:vAlign w:val="top"/>
          </w:tcPr>
          <w:p>
            <w:pPr>
              <w:pStyle w:val="5"/>
              <w:spacing w:line="240" w:lineRule="auto"/>
              <w:ind w:firstLine="0" w:firstLineChars="0"/>
              <w:rPr>
                <w:rFonts w:hint="eastAsia" w:ascii="仿宋_GB2312" w:hAnsi="宋体" w:eastAsia="仿宋_GB2312"/>
                <w:sz w:val="21"/>
                <w:szCs w:val="21"/>
                <w:highlight w:val="none"/>
              </w:rPr>
            </w:pPr>
            <w:r>
              <w:rPr>
                <w:rFonts w:hint="eastAsia" w:ascii="仿宋_GB2312" w:hAnsi="宋体" w:eastAsia="仿宋_GB2312"/>
                <w:sz w:val="21"/>
                <w:szCs w:val="21"/>
                <w:highlight w:val="none"/>
              </w:rPr>
              <w:t>VG0612铁红耐热底漆</w:t>
            </w:r>
          </w:p>
        </w:tc>
        <w:tc>
          <w:tcPr>
            <w:tcW w:w="3375" w:type="dxa"/>
            <w:noWrap w:val="0"/>
            <w:vAlign w:val="top"/>
          </w:tcPr>
          <w:p>
            <w:pPr>
              <w:pStyle w:val="5"/>
              <w:spacing w:line="240" w:lineRule="auto"/>
              <w:ind w:firstLine="0" w:firstLineChars="0"/>
              <w:rPr>
                <w:rFonts w:hint="eastAsia" w:ascii="仿宋_GB2312" w:hAnsi="宋体" w:eastAsia="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noWrap w:val="0"/>
            <w:vAlign w:val="top"/>
          </w:tcPr>
          <w:p>
            <w:pPr>
              <w:pStyle w:val="5"/>
              <w:spacing w:line="240" w:lineRule="auto"/>
              <w:ind w:firstLine="0"/>
              <w:jc w:val="center"/>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8</w:t>
            </w:r>
          </w:p>
        </w:tc>
        <w:tc>
          <w:tcPr>
            <w:tcW w:w="4736" w:type="dxa"/>
            <w:noWrap w:val="0"/>
            <w:vAlign w:val="top"/>
          </w:tcPr>
          <w:p>
            <w:pPr>
              <w:pStyle w:val="5"/>
              <w:spacing w:line="240" w:lineRule="auto"/>
              <w:ind w:firstLine="0" w:firstLineChars="0"/>
              <w:rPr>
                <w:rFonts w:hint="eastAsia" w:ascii="仿宋_GB2312" w:hAnsi="宋体" w:eastAsia="仿宋_GB2312"/>
                <w:sz w:val="21"/>
                <w:szCs w:val="21"/>
                <w:highlight w:val="none"/>
              </w:rPr>
            </w:pPr>
            <w:r>
              <w:rPr>
                <w:rFonts w:hint="eastAsia" w:ascii="仿宋_GB2312" w:hAnsi="宋体" w:eastAsia="仿宋_GB2312"/>
                <w:sz w:val="21"/>
                <w:szCs w:val="21"/>
                <w:highlight w:val="none"/>
              </w:rPr>
              <w:t>VG0408铝粉耐热面漆</w:t>
            </w:r>
          </w:p>
        </w:tc>
        <w:tc>
          <w:tcPr>
            <w:tcW w:w="3375" w:type="dxa"/>
            <w:noWrap w:val="0"/>
            <w:vAlign w:val="top"/>
          </w:tcPr>
          <w:p>
            <w:pPr>
              <w:pStyle w:val="5"/>
              <w:spacing w:line="240" w:lineRule="auto"/>
              <w:ind w:firstLine="0" w:firstLineChars="0"/>
              <w:rPr>
                <w:rFonts w:hint="eastAsia" w:ascii="仿宋_GB2312" w:hAnsi="宋体" w:eastAsia="仿宋_GB2312"/>
                <w:sz w:val="21"/>
                <w:szCs w:val="21"/>
                <w:highlight w:val="none"/>
              </w:rPr>
            </w:pPr>
          </w:p>
        </w:tc>
      </w:tr>
    </w:tbl>
    <w:p>
      <w:pPr>
        <w:numPr>
          <w:ilvl w:val="0"/>
          <w:numId w:val="6"/>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投标方提供特殊环境防腐用玻纤布、环氧腻子等材料。</w:t>
      </w:r>
    </w:p>
    <w:p>
      <w:pPr>
        <w:numPr>
          <w:ilvl w:val="0"/>
          <w:numId w:val="6"/>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投标方负责施工工程中需要的消耗性材料，满足防腐内容中要求的特殊消耗性材料。</w:t>
      </w:r>
    </w:p>
    <w:p>
      <w:pPr>
        <w:numPr>
          <w:ilvl w:val="0"/>
          <w:numId w:val="6"/>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投标方提供施工必需的施工机具、设备和检测仪器仪表。</w:t>
      </w:r>
    </w:p>
    <w:p>
      <w:pPr>
        <w:numPr>
          <w:ilvl w:val="0"/>
          <w:numId w:val="6"/>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投标方负责施工</w:t>
      </w:r>
      <w:r>
        <w:rPr>
          <w:rFonts w:ascii="仿宋_GB2312" w:hAnsi="宋体" w:eastAsia="仿宋_GB2312"/>
          <w:sz w:val="24"/>
          <w:highlight w:val="none"/>
        </w:rPr>
        <w:t>范围内</w:t>
      </w:r>
      <w:r>
        <w:rPr>
          <w:rFonts w:hint="eastAsia" w:ascii="仿宋_GB2312" w:hAnsi="宋体" w:eastAsia="仿宋_GB2312"/>
          <w:sz w:val="24"/>
          <w:highlight w:val="none"/>
        </w:rPr>
        <w:t>脚手架等安全措施的</w:t>
      </w:r>
      <w:r>
        <w:rPr>
          <w:rFonts w:hint="eastAsia" w:ascii="仿宋_GB2312" w:hAnsi="宋体" w:eastAsia="仿宋_GB2312"/>
          <w:sz w:val="24"/>
          <w:highlight w:val="none"/>
          <w:lang w:val="en-US" w:eastAsia="zh-CN"/>
        </w:rPr>
        <w:t>搭设</w:t>
      </w:r>
      <w:r>
        <w:rPr>
          <w:rFonts w:hint="eastAsia" w:ascii="仿宋_GB2312" w:hAnsi="宋体" w:eastAsia="仿宋_GB2312"/>
          <w:sz w:val="24"/>
          <w:highlight w:val="none"/>
        </w:rPr>
        <w:t>和拆除。</w:t>
      </w:r>
    </w:p>
    <w:p>
      <w:pPr>
        <w:numPr>
          <w:ilvl w:val="0"/>
          <w:numId w:val="6"/>
        </w:numPr>
        <w:ind w:left="0" w:firstLine="0"/>
        <w:jc w:val="left"/>
        <w:rPr>
          <w:rFonts w:hint="eastAsia" w:ascii="仿宋_GB2312" w:hAnsi="宋体" w:eastAsia="仿宋_GB2312"/>
          <w:sz w:val="24"/>
          <w:highlight w:val="none"/>
        </w:rPr>
      </w:pPr>
      <w:r>
        <w:rPr>
          <w:rFonts w:hint="eastAsia" w:ascii="仿宋_GB2312" w:hAnsi="宋体" w:eastAsia="仿宋_GB2312"/>
          <w:sz w:val="24"/>
          <w:highlight w:val="none"/>
        </w:rPr>
        <w:t>货物运输和施工地点为泸州川南发电有限责任公司2×600MW机组防腐工程现场。</w:t>
      </w:r>
    </w:p>
    <w:p>
      <w:pPr>
        <w:pStyle w:val="2"/>
        <w:spacing w:line="240" w:lineRule="auto"/>
        <w:rPr>
          <w:rFonts w:hint="eastAsia" w:ascii="仿宋_GB2312" w:hAnsi="楷体" w:eastAsia="仿宋_GB2312"/>
          <w:highlight w:val="none"/>
        </w:rPr>
      </w:pPr>
      <w:bookmarkStart w:id="3" w:name="_Toc5945"/>
      <w:r>
        <w:rPr>
          <w:rFonts w:hint="eastAsia" w:ascii="仿宋_GB2312" w:hAnsi="楷体" w:eastAsia="仿宋_GB2312"/>
          <w:highlight w:val="none"/>
        </w:rPr>
        <w:t>投标方遵守的规范、施工要求、原材料及工艺</w:t>
      </w:r>
      <w:bookmarkEnd w:id="3"/>
    </w:p>
    <w:p>
      <w:pPr>
        <w:numPr>
          <w:ilvl w:val="0"/>
          <w:numId w:val="7"/>
        </w:numPr>
        <w:jc w:val="left"/>
        <w:rPr>
          <w:rFonts w:hint="eastAsia" w:ascii="仿宋_GB2312" w:hAnsi="宋体" w:eastAsia="仿宋_GB2312"/>
          <w:sz w:val="24"/>
          <w:highlight w:val="none"/>
        </w:rPr>
      </w:pPr>
      <w:r>
        <w:rPr>
          <w:rFonts w:hint="eastAsia" w:ascii="仿宋_GB2312" w:hAnsi="宋体" w:eastAsia="仿宋_GB2312"/>
          <w:sz w:val="24"/>
          <w:highlight w:val="none"/>
        </w:rPr>
        <w:t>遵守的规程、规范：</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《电力安全工作规程》</w:t>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GB26859-2011</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《涂装作业安全规程，涂装前处理工艺安全》</w:t>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GB7692-2012</w:t>
      </w:r>
    </w:p>
    <w:p>
      <w:pPr>
        <w:adjustRightInd w:val="0"/>
        <w:snapToGrid w:val="0"/>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rPr>
        <w:t>《火力发电厂保温油漆设计规程》</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rPr>
        <w:t>DL/T 5072</w:t>
      </w:r>
      <w:r>
        <w:rPr>
          <w:rFonts w:hint="eastAsia" w:ascii="仿宋_GB2312" w:hAnsi="宋体" w:eastAsia="仿宋_GB2312"/>
          <w:sz w:val="24"/>
          <w:szCs w:val="24"/>
          <w:highlight w:val="none"/>
          <w:lang w:val="en-US" w:eastAsia="zh-CN"/>
        </w:rPr>
        <w:t>-2019</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《防腐蚀涂层涂装技术</w:t>
      </w:r>
      <w:r>
        <w:rPr>
          <w:rFonts w:hint="eastAsia" w:ascii="仿宋_GB2312" w:hAnsi="宋体" w:eastAsia="仿宋_GB2312"/>
          <w:sz w:val="24"/>
          <w:szCs w:val="24"/>
          <w:highlight w:val="none"/>
          <w:lang w:val="en-US" w:eastAsia="zh-CN"/>
        </w:rPr>
        <w:t>规范</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HG/T 4077-2009</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《涂装前钢材表面锈蚀等级和除锈等级》</w:t>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GB8923-2011</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《工业建筑防腐蚀设计规范》</w:t>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 xml:space="preserve">GB/T 50046-2018 </w:t>
      </w:r>
    </w:p>
    <w:p>
      <w:pPr>
        <w:numPr>
          <w:ilvl w:val="0"/>
          <w:numId w:val="7"/>
        </w:numPr>
        <w:jc w:val="left"/>
        <w:rPr>
          <w:rFonts w:hint="eastAsia" w:ascii="仿宋_GB2312" w:hAnsi="宋体" w:eastAsia="仿宋_GB2312"/>
          <w:sz w:val="24"/>
          <w:highlight w:val="none"/>
        </w:rPr>
      </w:pPr>
      <w:r>
        <w:rPr>
          <w:rFonts w:hint="eastAsia" w:ascii="仿宋_GB2312" w:hAnsi="宋体" w:eastAsia="仿宋_GB2312"/>
          <w:sz w:val="24"/>
          <w:highlight w:val="none"/>
        </w:rPr>
        <w:t>施工总体要求</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2.1根据设备处于不同环境，设备表面除锈处理、涂料颜色符合DL/T 5072《火力发电厂保温油漆设计规程》规定，防腐蚀面涂料选用符合GB50046-20</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8《工业建筑防腐蚀设计规范》规定，总漆膜厚度以本规范工艺要求值或GB50046-20</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8《工业建筑防腐蚀设计规范》中的大值为准。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2.2</w:t>
      </w:r>
      <w:r>
        <w:rPr>
          <w:rFonts w:hint="eastAsia" w:ascii="仿宋_GB2312" w:hAnsi="宋体" w:eastAsia="仿宋_GB2312"/>
          <w:b w:val="0"/>
          <w:bCs w:val="0"/>
          <w:color w:val="auto"/>
          <w:sz w:val="24"/>
          <w:szCs w:val="24"/>
          <w:highlight w:val="none"/>
          <w:lang w:val="en-US" w:eastAsia="zh-CN"/>
        </w:rPr>
        <w:t>已涂覆过的钢材、</w:t>
      </w:r>
      <w:r>
        <w:rPr>
          <w:rFonts w:hint="eastAsia" w:ascii="仿宋_GB2312" w:hAnsi="宋体" w:eastAsia="仿宋_GB2312"/>
          <w:b w:val="0"/>
          <w:bCs w:val="0"/>
          <w:color w:val="auto"/>
          <w:sz w:val="24"/>
          <w:szCs w:val="24"/>
          <w:highlight w:val="none"/>
        </w:rPr>
        <w:t>设备表面</w:t>
      </w:r>
      <w:r>
        <w:rPr>
          <w:rFonts w:hint="eastAsia" w:ascii="仿宋_GB2312" w:hAnsi="宋体" w:eastAsia="仿宋_GB2312"/>
          <w:b w:val="0"/>
          <w:bCs w:val="0"/>
          <w:color w:val="auto"/>
          <w:sz w:val="24"/>
          <w:szCs w:val="24"/>
          <w:highlight w:val="none"/>
          <w:lang w:val="en-US" w:eastAsia="zh-CN"/>
        </w:rPr>
        <w:t>采用手工和动力工具清理</w:t>
      </w: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表面清理等级不低于Pst2</w:t>
      </w: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未涂覆过的钢材、</w:t>
      </w:r>
      <w:r>
        <w:rPr>
          <w:rFonts w:hint="eastAsia" w:ascii="仿宋_GB2312" w:hAnsi="宋体" w:eastAsia="仿宋_GB2312"/>
          <w:b w:val="0"/>
          <w:bCs w:val="0"/>
          <w:color w:val="auto"/>
          <w:sz w:val="24"/>
          <w:szCs w:val="24"/>
          <w:highlight w:val="none"/>
        </w:rPr>
        <w:t>设备表面</w:t>
      </w:r>
      <w:r>
        <w:rPr>
          <w:rFonts w:hint="eastAsia" w:ascii="仿宋_GB2312" w:hAnsi="宋体" w:eastAsia="仿宋_GB2312"/>
          <w:b w:val="0"/>
          <w:bCs w:val="0"/>
          <w:color w:val="auto"/>
          <w:sz w:val="24"/>
          <w:szCs w:val="24"/>
          <w:highlight w:val="none"/>
          <w:lang w:val="en-US" w:eastAsia="zh-CN"/>
        </w:rPr>
        <w:t>清理等级不低于sa2.5。</w:t>
      </w:r>
      <w:r>
        <w:rPr>
          <w:rFonts w:hint="eastAsia" w:ascii="仿宋_GB2312" w:hAnsi="宋体" w:eastAsia="仿宋_GB2312"/>
          <w:b/>
          <w:bCs/>
          <w:color w:val="auto"/>
          <w:sz w:val="24"/>
          <w:szCs w:val="24"/>
          <w:highlight w:val="none"/>
          <w:lang w:val="en-US" w:eastAsia="zh-CN"/>
        </w:rPr>
        <w:t>采用手工和动力工具清理不能满足相关防腐规范要求，投标方应无条件选择喷射等更高表面清理工艺，满足现场防腐需要</w:t>
      </w:r>
      <w:r>
        <w:rPr>
          <w:rFonts w:hint="eastAsia" w:ascii="仿宋_GB2312" w:hAnsi="宋体" w:eastAsia="仿宋_GB2312"/>
          <w:b/>
          <w:bCs/>
          <w:color w:val="auto"/>
          <w:sz w:val="24"/>
          <w:szCs w:val="24"/>
          <w:highlight w:val="none"/>
        </w:rPr>
        <w:t>。</w:t>
      </w:r>
      <w:r>
        <w:rPr>
          <w:rFonts w:hint="eastAsia" w:ascii="仿宋_GB2312" w:hAnsi="宋体" w:eastAsia="仿宋_GB2312"/>
          <w:b w:val="0"/>
          <w:bCs w:val="0"/>
          <w:color w:val="auto"/>
          <w:sz w:val="24"/>
          <w:szCs w:val="24"/>
          <w:highlight w:val="none"/>
        </w:rPr>
        <w:t>金属表面无可见的油污、氧化皮及原有的防腐涂料和其他附着物。除锈采用分段除锈，除锈验收合格后即涂刷底漆（防止产生二次浮锈）。</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2.3设备防腐表面除锈如使用电动工具不能达到的地方，应用手动工具</w:t>
      </w:r>
      <w:r>
        <w:rPr>
          <w:rFonts w:hint="eastAsia" w:ascii="仿宋_GB2312" w:hAnsi="宋体" w:eastAsia="仿宋_GB2312"/>
          <w:sz w:val="24"/>
          <w:szCs w:val="24"/>
          <w:highlight w:val="none"/>
          <w:lang w:eastAsia="zh-CN"/>
        </w:rPr>
        <w:t>做</w:t>
      </w:r>
      <w:r>
        <w:rPr>
          <w:rFonts w:hint="eastAsia" w:ascii="仿宋_GB2312" w:hAnsi="宋体" w:eastAsia="仿宋_GB2312"/>
          <w:sz w:val="24"/>
          <w:szCs w:val="24"/>
          <w:highlight w:val="none"/>
        </w:rPr>
        <w:t>补充处理。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2.4除锈过程中不得造成设备表面损伤，不得损坏设备铭牌</w:t>
      </w:r>
      <w:r>
        <w:rPr>
          <w:rFonts w:hint="eastAsia" w:ascii="仿宋_GB2312" w:hAnsi="宋体" w:eastAsia="仿宋_GB2312"/>
          <w:sz w:val="24"/>
          <w:szCs w:val="24"/>
          <w:highlight w:val="none"/>
          <w:lang w:eastAsia="zh-CN"/>
        </w:rPr>
        <w:t>、标志、标识</w:t>
      </w:r>
      <w:r>
        <w:rPr>
          <w:rFonts w:hint="eastAsia" w:ascii="仿宋_GB2312" w:hAnsi="宋体" w:eastAsia="仿宋_GB2312"/>
          <w:sz w:val="24"/>
          <w:szCs w:val="24"/>
          <w:highlight w:val="none"/>
        </w:rPr>
        <w:t>；涂刷防腐材料时应对设备铭牌采取保护措施，避免被污染，不得对相邻管道设备或地面造成污染；防腐</w:t>
      </w:r>
      <w:r>
        <w:rPr>
          <w:rFonts w:ascii="仿宋_GB2312" w:hAnsi="宋体" w:eastAsia="仿宋_GB2312"/>
          <w:sz w:val="24"/>
          <w:szCs w:val="24"/>
          <w:highlight w:val="none"/>
        </w:rPr>
        <w:t>完成后，投标方应重新标记色环等标识</w:t>
      </w:r>
      <w:r>
        <w:rPr>
          <w:rFonts w:hint="eastAsia" w:ascii="仿宋_GB2312" w:hAnsi="宋体" w:eastAsia="仿宋_GB2312"/>
          <w:sz w:val="24"/>
          <w:szCs w:val="24"/>
          <w:highlight w:val="none"/>
        </w:rPr>
        <w:t>。</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2.5</w:t>
      </w:r>
      <w:r>
        <w:rPr>
          <w:rFonts w:hint="eastAsia" w:ascii="仿宋_GB2312" w:hAnsi="宋体" w:eastAsia="仿宋_GB2312"/>
          <w:b/>
          <w:bCs/>
          <w:sz w:val="24"/>
          <w:szCs w:val="24"/>
          <w:highlight w:val="none"/>
        </w:rPr>
        <w:t>防腐涂料使用前，</w:t>
      </w:r>
      <w:r>
        <w:rPr>
          <w:rFonts w:hint="eastAsia" w:ascii="仿宋_GB2312" w:hAnsi="宋体" w:eastAsia="仿宋_GB2312"/>
          <w:b/>
          <w:bCs/>
          <w:sz w:val="24"/>
          <w:szCs w:val="24"/>
          <w:highlight w:val="none"/>
          <w:lang w:val="en-US" w:eastAsia="zh-CN"/>
        </w:rPr>
        <w:t>必须填报报验申请单，招标方生产技术部和设备维修部对口管理人员查验所使用的材料质量证明文件合格，并</w:t>
      </w:r>
      <w:r>
        <w:rPr>
          <w:rFonts w:hint="eastAsia" w:ascii="仿宋_GB2312" w:hAnsi="宋体" w:eastAsia="仿宋_GB2312"/>
          <w:b/>
          <w:bCs/>
          <w:sz w:val="24"/>
          <w:szCs w:val="24"/>
          <w:highlight w:val="none"/>
        </w:rPr>
        <w:t>小面积试涂，待各项技术参数合格后方可正式涂装。</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2.6涂装工具要满足毛厚、口齐、毛尖软、不脱毛和不炸毛。</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2.7防腐涂装过程中涂料需纵横涂刷，使涂膜达到均匀一致。</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2.8焊缝、边角及表面凹凸部位应用刷子先涂敷一遍。</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2.9雨、雾、大风、强烈阳光直射下、相对湿度大于85％、温度低于5℃、8－20米风力</w:t>
      </w:r>
      <w:r>
        <w:rPr>
          <w:rFonts w:hint="eastAsia" w:ascii="仿宋_GB2312" w:hAnsi="宋体" w:eastAsia="仿宋_GB2312"/>
          <w:sz w:val="24"/>
          <w:szCs w:val="24"/>
          <w:highlight w:val="none"/>
          <w:lang w:eastAsia="zh-CN"/>
        </w:rPr>
        <w:t>大于5级</w:t>
      </w:r>
      <w:r>
        <w:rPr>
          <w:rFonts w:hint="eastAsia" w:ascii="仿宋_GB2312" w:hAnsi="宋体" w:eastAsia="仿宋_GB2312"/>
          <w:sz w:val="24"/>
          <w:szCs w:val="24"/>
          <w:highlight w:val="none"/>
        </w:rPr>
        <w:t>时严禁施工。</w:t>
      </w:r>
    </w:p>
    <w:p>
      <w:pPr>
        <w:adjustRightInd w:val="0"/>
        <w:snapToGrid w:val="0"/>
        <w:rPr>
          <w:rFonts w:hint="eastAsia"/>
          <w:highlight w:val="none"/>
        </w:rPr>
      </w:pPr>
      <w:r>
        <w:rPr>
          <w:rFonts w:hint="eastAsia" w:ascii="仿宋_GB2312" w:hAnsi="宋体" w:eastAsia="仿宋_GB2312"/>
          <w:color w:val="auto"/>
          <w:sz w:val="24"/>
          <w:szCs w:val="24"/>
          <w:highlight w:val="none"/>
        </w:rPr>
        <w:t>2.10使用的涂料必须有相应质量证明文件及资料，保证本项目使用的产品为品牌产品的正品。严格禁止使用假冒伪劣产品或</w:t>
      </w:r>
      <w:r>
        <w:rPr>
          <w:rFonts w:ascii="仿宋_GB2312" w:hAnsi="宋体" w:eastAsia="仿宋_GB2312"/>
          <w:color w:val="auto"/>
          <w:sz w:val="24"/>
          <w:szCs w:val="24"/>
          <w:highlight w:val="none"/>
        </w:rPr>
        <w:t>非合同</w:t>
      </w:r>
      <w:r>
        <w:rPr>
          <w:rFonts w:hint="eastAsia" w:ascii="仿宋_GB2312" w:hAnsi="宋体" w:eastAsia="仿宋_GB2312"/>
          <w:color w:val="auto"/>
          <w:sz w:val="24"/>
          <w:szCs w:val="24"/>
          <w:highlight w:val="none"/>
        </w:rPr>
        <w:t>约定</w:t>
      </w:r>
      <w:r>
        <w:rPr>
          <w:rFonts w:ascii="仿宋_GB2312" w:hAnsi="宋体" w:eastAsia="仿宋_GB2312"/>
          <w:color w:val="auto"/>
          <w:sz w:val="24"/>
          <w:szCs w:val="24"/>
          <w:highlight w:val="none"/>
        </w:rPr>
        <w:t>产品</w:t>
      </w:r>
      <w:r>
        <w:rPr>
          <w:rFonts w:hint="eastAsia" w:ascii="仿宋_GB2312" w:hAnsi="宋体" w:eastAsia="仿宋_GB2312"/>
          <w:color w:val="auto"/>
          <w:sz w:val="24"/>
          <w:szCs w:val="24"/>
          <w:highlight w:val="none"/>
        </w:rPr>
        <w:t>，一经发现，招标方将有权单方解除合同</w:t>
      </w:r>
      <w:r>
        <w:rPr>
          <w:rFonts w:hint="eastAsia" w:ascii="仿宋_GB2312" w:hAnsi="宋体" w:eastAsia="仿宋_GB2312"/>
          <w:color w:val="auto"/>
          <w:sz w:val="24"/>
          <w:szCs w:val="24"/>
          <w:highlight w:val="none"/>
          <w:lang w:val="en-US" w:eastAsia="zh-CN"/>
        </w:rPr>
        <w:t>并列入投标商黑名单</w:t>
      </w:r>
      <w:r>
        <w:rPr>
          <w:rFonts w:hint="eastAsia" w:ascii="仿宋_GB2312" w:hAnsi="宋体" w:eastAsia="仿宋_GB2312"/>
          <w:color w:val="auto"/>
          <w:sz w:val="24"/>
          <w:szCs w:val="24"/>
          <w:highlight w:val="none"/>
        </w:rPr>
        <w:t>，并由投标方自行承担相应损失。</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2.11进行防腐工作前必须做好防高空坠落、防火、防爆、防尘、防毒、防触电等安全技术措施。</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2.12办理工作票后，方可进行施工。</w:t>
      </w:r>
    </w:p>
    <w:p>
      <w:pPr>
        <w:adjustRightInd w:val="0"/>
        <w:snapToGrid w:val="0"/>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2.13施工前</w:t>
      </w:r>
      <w:r>
        <w:rPr>
          <w:rFonts w:hint="eastAsia" w:ascii="仿宋_GB2312" w:hAnsi="宋体" w:eastAsia="仿宋_GB2312"/>
          <w:color w:val="auto"/>
          <w:sz w:val="24"/>
          <w:szCs w:val="24"/>
          <w:highlight w:val="none"/>
          <w:lang w:eastAsia="zh-CN"/>
        </w:rPr>
        <w:t>应报送施工方案，经方案批准、</w:t>
      </w:r>
      <w:r>
        <w:rPr>
          <w:rFonts w:hint="eastAsia" w:ascii="仿宋_GB2312" w:hAnsi="宋体" w:eastAsia="仿宋_GB2312"/>
          <w:color w:val="auto"/>
          <w:sz w:val="24"/>
          <w:szCs w:val="24"/>
          <w:highlight w:val="none"/>
        </w:rPr>
        <w:t>技术交底</w:t>
      </w:r>
      <w:r>
        <w:rPr>
          <w:rFonts w:hint="eastAsia" w:ascii="仿宋_GB2312" w:hAnsi="宋体" w:eastAsia="仿宋_GB2312"/>
          <w:color w:val="auto"/>
          <w:sz w:val="24"/>
          <w:szCs w:val="24"/>
          <w:highlight w:val="none"/>
          <w:lang w:eastAsia="zh-CN"/>
        </w:rPr>
        <w:t>后方可开展作业，特殊区域经专项交底后方可施工。不连续施工区域转移应告知招标方，得到允许后方可开展相关工作。</w:t>
      </w:r>
      <w:r>
        <w:rPr>
          <w:rFonts w:hint="eastAsia" w:ascii="仿宋_GB2312" w:hAnsi="宋体" w:eastAsia="仿宋_GB2312"/>
          <w:color w:val="auto"/>
          <w:sz w:val="24"/>
          <w:szCs w:val="24"/>
          <w:highlight w:val="none"/>
        </w:rPr>
        <w:t>施工中做好自检、互检和交接班检查记录，施工后做好所有施工过程中的质量验收记录。投标方在完成一定工程量后及时通知招标方共同进行过程质量检查。</w:t>
      </w:r>
    </w:p>
    <w:p>
      <w:pPr>
        <w:pStyle w:val="7"/>
        <w:rPr>
          <w:rFonts w:hint="default" w:eastAsia="仿宋_GB2312"/>
          <w:highlight w:val="none"/>
          <w:lang w:val="en-US" w:eastAsia="zh-CN"/>
        </w:rPr>
      </w:pPr>
      <w:r>
        <w:rPr>
          <w:rFonts w:hint="eastAsia" w:ascii="仿宋_GB2312" w:hAnsi="宋体" w:eastAsia="仿宋_GB2312"/>
          <w:color w:val="auto"/>
          <w:sz w:val="24"/>
          <w:szCs w:val="24"/>
          <w:highlight w:val="none"/>
        </w:rPr>
        <w:t>2.1</w:t>
      </w:r>
      <w:r>
        <w:rPr>
          <w:rFonts w:hint="eastAsia" w:ascii="仿宋_GB2312" w:hAnsi="宋体" w:eastAsia="仿宋_GB2312"/>
          <w:color w:val="auto"/>
          <w:sz w:val="24"/>
          <w:szCs w:val="24"/>
          <w:highlight w:val="none"/>
          <w:lang w:val="en-US" w:eastAsia="zh-CN"/>
        </w:rPr>
        <w:t>4投标方应严格按照第二.3条所列范围进行防腐，未经招标方生产技术部同意，不得随意扩大/缩小防腐范围；否则</w:t>
      </w:r>
      <w:r>
        <w:rPr>
          <w:rFonts w:hint="eastAsia" w:ascii="仿宋_GB2312" w:hAnsi="宋体" w:eastAsia="仿宋_GB2312"/>
          <w:color w:val="auto"/>
          <w:sz w:val="24"/>
          <w:szCs w:val="24"/>
          <w:highlight w:val="none"/>
        </w:rPr>
        <w:t>招标方将有权单方解除合同</w:t>
      </w:r>
      <w:r>
        <w:rPr>
          <w:rFonts w:hint="eastAsia" w:ascii="仿宋_GB2312" w:hAnsi="宋体" w:eastAsia="仿宋_GB2312"/>
          <w:color w:val="auto"/>
          <w:sz w:val="24"/>
          <w:szCs w:val="24"/>
          <w:highlight w:val="none"/>
          <w:lang w:val="en-US" w:eastAsia="zh-CN"/>
        </w:rPr>
        <w:t>并列入投标商黑名单。</w:t>
      </w:r>
    </w:p>
    <w:p>
      <w:pPr>
        <w:numPr>
          <w:ilvl w:val="0"/>
          <w:numId w:val="7"/>
        </w:numPr>
        <w:jc w:val="left"/>
        <w:rPr>
          <w:rFonts w:hint="eastAsia" w:ascii="仿宋_GB2312" w:hAnsi="宋体" w:eastAsia="仿宋_GB2312"/>
          <w:sz w:val="24"/>
          <w:highlight w:val="none"/>
        </w:rPr>
      </w:pPr>
      <w:r>
        <w:rPr>
          <w:rFonts w:hint="eastAsia" w:ascii="仿宋_GB2312" w:hAnsi="宋体" w:eastAsia="仿宋_GB2312"/>
          <w:sz w:val="24"/>
          <w:highlight w:val="none"/>
        </w:rPr>
        <w:t>原材料及工艺</w:t>
      </w:r>
    </w:p>
    <w:p>
      <w:pPr>
        <w:adjustRightInd w:val="0"/>
        <w:snapToGrid w:val="0"/>
        <w:rPr>
          <w:rFonts w:hint="eastAsia" w:ascii="仿宋_GB2312" w:eastAsia="仿宋_GB2312"/>
          <w:sz w:val="24"/>
          <w:szCs w:val="24"/>
          <w:highlight w:val="none"/>
        </w:rPr>
      </w:pPr>
      <w:r>
        <w:rPr>
          <w:rFonts w:hint="eastAsia" w:ascii="仿宋_GB2312" w:hAnsi="宋体" w:eastAsia="仿宋_GB2312"/>
          <w:sz w:val="24"/>
          <w:szCs w:val="24"/>
          <w:highlight w:val="none"/>
        </w:rPr>
        <w:t>3.1 常温钢结构、钢制平台、设备、容器</w:t>
      </w:r>
    </w:p>
    <w:p>
      <w:pPr>
        <w:pStyle w:val="4"/>
        <w:spacing w:line="240" w:lineRule="auto"/>
        <w:rPr>
          <w:rFonts w:hint="eastAsia" w:ascii="仿宋_GB2312" w:eastAsia="仿宋_GB2312"/>
          <w:highlight w:val="none"/>
        </w:rPr>
      </w:pPr>
      <w:r>
        <w:rPr>
          <w:rFonts w:hint="eastAsia" w:ascii="仿宋_GB2312" w:eastAsia="仿宋_GB2312"/>
          <w:highlight w:val="none"/>
        </w:rPr>
        <w:t>原材料</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底漆：铁红渗透型带锈防锈底漆（双组份）</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中间漆：云铁环氧中间漆（双组分）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面漆：</w:t>
      </w:r>
      <w:r>
        <w:rPr>
          <w:rFonts w:hint="eastAsia" w:ascii="仿宋_GB2312" w:hAnsi="宋体" w:eastAsia="仿宋_GB2312"/>
          <w:sz w:val="24"/>
          <w:szCs w:val="24"/>
          <w:highlight w:val="none"/>
          <w:lang w:val="en-US" w:eastAsia="zh-CN"/>
        </w:rPr>
        <w:t>BS</w:t>
      </w:r>
      <w:r>
        <w:rPr>
          <w:rFonts w:hint="eastAsia" w:ascii="仿宋_GB2312" w:hAnsi="宋体" w:eastAsia="仿宋_GB2312"/>
          <w:sz w:val="24"/>
          <w:szCs w:val="24"/>
          <w:highlight w:val="none"/>
        </w:rPr>
        <w:t>1901脂肪族聚氨酯面漆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其它</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固化剂</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环氧腻子</w:t>
      </w:r>
    </w:p>
    <w:p>
      <w:pPr>
        <w:pStyle w:val="4"/>
        <w:spacing w:line="240" w:lineRule="auto"/>
        <w:rPr>
          <w:rFonts w:hint="eastAsia"/>
          <w:highlight w:val="none"/>
        </w:rPr>
      </w:pPr>
      <w:r>
        <w:rPr>
          <w:rFonts w:hint="eastAsia" w:ascii="仿宋_GB2312" w:eastAsia="仿宋_GB2312"/>
          <w:highlight w:val="none"/>
        </w:rPr>
        <w:t>施工技术要求</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3.1.2.1施工程序</w:t>
      </w:r>
      <w:r>
        <w:rPr>
          <w:rFonts w:hint="eastAsia" w:ascii="仿宋_GB2312" w:hAnsi="宋体" w:eastAsia="仿宋_GB2312"/>
          <w:sz w:val="24"/>
          <w:szCs w:val="24"/>
          <w:highlight w:val="none"/>
          <w:lang w:val="en-US" w:eastAsia="zh-CN"/>
        </w:rPr>
        <w:t>为：</w:t>
      </w:r>
      <w:r>
        <w:rPr>
          <w:rFonts w:hint="eastAsia" w:ascii="仿宋_GB2312" w:hAnsi="宋体" w:eastAsia="仿宋_GB2312"/>
          <w:sz w:val="24"/>
          <w:szCs w:val="24"/>
          <w:highlight w:val="none"/>
        </w:rPr>
        <w:t>除锈→第1道底漆→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环氧腻子</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→第2道底漆→1道中间漆→</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道面漆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涂料配制时</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应采用机械搅拌</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搅拌应均匀，避免产生气泡。加入固化剂的涂料应在40min内用完，不加固化剂的涂料应在6h内用完。</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3</w:t>
      </w:r>
      <w:r>
        <w:rPr>
          <w:rFonts w:hint="eastAsia" w:ascii="仿宋_GB2312" w:hAnsi="宋体" w:eastAsia="仿宋_GB2312"/>
          <w:sz w:val="24"/>
          <w:szCs w:val="24"/>
          <w:highlight w:val="none"/>
        </w:rPr>
        <w:t>每道</w:t>
      </w:r>
      <w:r>
        <w:rPr>
          <w:rFonts w:hint="eastAsia" w:ascii="仿宋_GB2312" w:hAnsi="宋体" w:eastAsia="仿宋_GB2312"/>
          <w:sz w:val="24"/>
          <w:szCs w:val="24"/>
          <w:highlight w:val="none"/>
          <w:lang w:eastAsia="zh-CN"/>
        </w:rPr>
        <w:t>涂层的厚度</w:t>
      </w:r>
      <w:r>
        <w:rPr>
          <w:rFonts w:hint="eastAsia" w:ascii="仿宋_GB2312" w:hAnsi="宋体" w:eastAsia="仿宋_GB2312"/>
          <w:sz w:val="24"/>
          <w:szCs w:val="24"/>
          <w:highlight w:val="none"/>
        </w:rPr>
        <w:t>控制应符合下面规定</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底漆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30</w:t>
      </w:r>
      <w:r>
        <w:rPr>
          <w:rFonts w:hint="eastAsia" w:ascii="仿宋_GB2312" w:hAnsi="宋体" w:eastAsia="仿宋_GB2312"/>
          <w:sz w:val="24"/>
          <w:szCs w:val="24"/>
          <w:highlight w:val="none"/>
          <w:lang w:val="en-US" w:eastAsia="zh-CN"/>
        </w:rPr>
        <w:t>-6</w:t>
      </w:r>
      <w:r>
        <w:rPr>
          <w:rFonts w:hint="eastAsia" w:ascii="仿宋_GB2312" w:hAnsi="宋体" w:eastAsia="仿宋_GB2312"/>
          <w:sz w:val="24"/>
          <w:szCs w:val="24"/>
          <w:highlight w:val="none"/>
        </w:rPr>
        <w:t>0μm/道</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中漆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50</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80μm/道</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ab/>
      </w:r>
      <w:r>
        <w:rPr>
          <w:rFonts w:hint="eastAsia" w:ascii="仿宋_GB2312" w:hAnsi="宋体" w:eastAsia="仿宋_GB2312"/>
          <w:sz w:val="24"/>
          <w:szCs w:val="24"/>
          <w:highlight w:val="none"/>
        </w:rPr>
        <w:t>面漆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35</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60μm/道</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ab/>
      </w:r>
      <w:r>
        <w:rPr>
          <w:rFonts w:hint="eastAsia" w:ascii="仿宋_GB2312" w:hAnsi="宋体" w:eastAsia="仿宋_GB2312"/>
          <w:b/>
          <w:bCs/>
          <w:color w:val="auto"/>
          <w:sz w:val="24"/>
          <w:szCs w:val="24"/>
          <w:highlight w:val="none"/>
        </w:rPr>
        <w:t>总厚度</w:t>
      </w:r>
      <w:r>
        <w:rPr>
          <w:rFonts w:hint="eastAsia" w:ascii="仿宋_GB2312" w:hAnsi="宋体" w:eastAsia="仿宋_GB2312"/>
          <w:b/>
          <w:bCs/>
          <w:color w:val="auto"/>
          <w:sz w:val="24"/>
          <w:szCs w:val="24"/>
          <w:highlight w:val="none"/>
          <w:lang w:eastAsia="zh-CN"/>
        </w:rPr>
        <w:t>：</w:t>
      </w:r>
      <w:r>
        <w:rPr>
          <w:rFonts w:hint="eastAsia" w:ascii="仿宋_GB2312" w:hAnsi="宋体" w:eastAsia="仿宋_GB2312"/>
          <w:b/>
          <w:bCs/>
          <w:color w:val="auto"/>
          <w:sz w:val="24"/>
          <w:szCs w:val="24"/>
          <w:highlight w:val="none"/>
        </w:rPr>
        <w:t>200μm（最小）</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4</w:t>
      </w:r>
      <w:r>
        <w:rPr>
          <w:rFonts w:hint="eastAsia" w:ascii="仿宋_GB2312" w:hAnsi="宋体" w:eastAsia="仿宋_GB2312"/>
          <w:sz w:val="24"/>
          <w:szCs w:val="24"/>
          <w:highlight w:val="none"/>
        </w:rPr>
        <w:t>涂料涂刷时方向应一致</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两层</w:t>
      </w:r>
      <w:r>
        <w:rPr>
          <w:rFonts w:hint="eastAsia" w:ascii="仿宋_GB2312" w:hAnsi="宋体" w:eastAsia="仿宋_GB2312"/>
          <w:sz w:val="24"/>
          <w:szCs w:val="24"/>
          <w:highlight w:val="none"/>
          <w:lang w:eastAsia="zh-CN"/>
        </w:rPr>
        <w:t>之间的涂刷</w:t>
      </w:r>
      <w:r>
        <w:rPr>
          <w:rFonts w:hint="eastAsia" w:ascii="仿宋_GB2312" w:hAnsi="宋体" w:eastAsia="仿宋_GB2312"/>
          <w:sz w:val="24"/>
          <w:szCs w:val="24"/>
          <w:highlight w:val="none"/>
        </w:rPr>
        <w:t>方向应垂直. 涂层应均匀</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不允许漏涂</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无流挂. 气泡. 针眼. 杂物（如刷毛. 砂粒）等</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也不允许存在其他缺陷。</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5</w:t>
      </w:r>
      <w:r>
        <w:rPr>
          <w:rFonts w:hint="eastAsia" w:ascii="仿宋_GB2312" w:hAnsi="宋体" w:eastAsia="仿宋_GB2312"/>
          <w:sz w:val="24"/>
          <w:szCs w:val="24"/>
          <w:highlight w:val="none"/>
        </w:rPr>
        <w:t>在第一道底漆涂刷后</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应对表面凹凸不平处及结构转角处用腻子抹平整或成圆滑过渡。（必要时应用细砂纸打磨腻子表面</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以保证涂层外观质量）</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3.1.</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6</w:t>
      </w:r>
      <w:r>
        <w:rPr>
          <w:rFonts w:hint="eastAsia" w:ascii="仿宋_GB2312" w:hAnsi="宋体" w:eastAsia="仿宋_GB2312"/>
          <w:sz w:val="24"/>
          <w:szCs w:val="24"/>
          <w:highlight w:val="none"/>
        </w:rPr>
        <w:t>第二道底漆涂刷前</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所有第一道底漆应擦洗干净。</w:t>
      </w:r>
    </w:p>
    <w:p>
      <w:pPr>
        <w:rPr>
          <w:rFonts w:hint="eastAsia" w:ascii="仿宋_GB2312" w:eastAsia="仿宋_GB2312"/>
          <w:sz w:val="24"/>
          <w:szCs w:val="24"/>
          <w:highlight w:val="none"/>
        </w:rPr>
      </w:pPr>
      <w:r>
        <w:rPr>
          <w:rFonts w:hint="eastAsia" w:ascii="仿宋_GB2312" w:hAnsi="宋体" w:eastAsia="仿宋_GB2312"/>
          <w:sz w:val="24"/>
          <w:szCs w:val="24"/>
          <w:highlight w:val="none"/>
        </w:rPr>
        <w:t xml:space="preserve">3.2 </w:t>
      </w:r>
      <w:r>
        <w:rPr>
          <w:rFonts w:hint="eastAsia" w:ascii="仿宋_GB2312" w:eastAsia="仿宋_GB2312"/>
          <w:sz w:val="24"/>
          <w:szCs w:val="24"/>
          <w:highlight w:val="none"/>
        </w:rPr>
        <w:t>高温段钢结构、设备、容器、安全阀</w:t>
      </w:r>
    </w:p>
    <w:p>
      <w:pPr>
        <w:pStyle w:val="4"/>
        <w:numPr>
          <w:ilvl w:val="0"/>
          <w:numId w:val="0"/>
        </w:numPr>
        <w:spacing w:line="240" w:lineRule="auto"/>
        <w:rPr>
          <w:rFonts w:hint="eastAsia" w:ascii="仿宋_GB2312" w:eastAsia="仿宋_GB2312"/>
          <w:highlight w:val="none"/>
        </w:rPr>
      </w:pPr>
      <w:r>
        <w:rPr>
          <w:rFonts w:hint="eastAsia" w:ascii="仿宋_GB2312" w:hAnsi="宋体" w:eastAsia="仿宋_GB2312"/>
          <w:highlight w:val="none"/>
        </w:rPr>
        <w:t>3.</w:t>
      </w:r>
      <w:r>
        <w:rPr>
          <w:rFonts w:hint="eastAsia" w:ascii="仿宋_GB2312" w:eastAsia="仿宋_GB2312"/>
          <w:highlight w:val="none"/>
        </w:rPr>
        <w:t>2.1 原材料</w:t>
      </w:r>
      <w:r>
        <w:rPr>
          <w:rFonts w:hint="eastAsia" w:ascii="仿宋_GB2312" w:eastAsia="仿宋_GB2312"/>
          <w:highlight w:val="none"/>
        </w:rPr>
        <w:tab/>
      </w:r>
      <w:r>
        <w:rPr>
          <w:rFonts w:hint="eastAsia" w:ascii="仿宋_GB2312" w:eastAsia="仿宋_GB2312"/>
          <w:highlight w:val="none"/>
        </w:rPr>
        <w:tab/>
      </w:r>
      <w:r>
        <w:rPr>
          <w:rFonts w:hint="eastAsia" w:ascii="仿宋_GB2312" w:eastAsia="仿宋_GB2312"/>
          <w:highlight w:val="none"/>
        </w:rPr>
        <w:tab/>
      </w:r>
      <w:r>
        <w:rPr>
          <w:rFonts w:hint="eastAsia" w:ascii="仿宋_GB2312" w:eastAsia="仿宋_GB2312"/>
          <w:highlight w:val="none"/>
        </w:rPr>
        <w:tab/>
      </w:r>
      <w:r>
        <w:rPr>
          <w:rFonts w:hint="eastAsia" w:ascii="仿宋_GB2312" w:eastAsia="仿宋_GB2312"/>
          <w:highlight w:val="none"/>
        </w:rPr>
        <w:tab/>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底漆：</w:t>
      </w:r>
      <w:r>
        <w:rPr>
          <w:rFonts w:hint="eastAsia" w:ascii="仿宋_GB2312" w:hAnsi="宋体" w:eastAsia="仿宋_GB2312"/>
          <w:sz w:val="21"/>
          <w:szCs w:val="21"/>
          <w:highlight w:val="none"/>
        </w:rPr>
        <w:t>VG0612铁红耐热底漆</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面漆：</w:t>
      </w:r>
      <w:r>
        <w:rPr>
          <w:rFonts w:hint="eastAsia" w:ascii="仿宋_GB2312" w:hAnsi="宋体" w:eastAsia="仿宋_GB2312"/>
          <w:sz w:val="21"/>
          <w:szCs w:val="21"/>
          <w:highlight w:val="none"/>
        </w:rPr>
        <w:t>VG0408铝粉耐热面漆</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稀释剂：高温稀释剂</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3.2.2 施工技术要求</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3.2.2.1施工程序</w:t>
      </w:r>
      <w:r>
        <w:rPr>
          <w:rFonts w:hint="eastAsia" w:ascii="仿宋_GB2312" w:hAnsi="宋体" w:eastAsia="仿宋_GB2312"/>
          <w:sz w:val="24"/>
          <w:szCs w:val="24"/>
          <w:highlight w:val="none"/>
          <w:lang w:val="en-US" w:eastAsia="zh-CN"/>
        </w:rPr>
        <w:t>为：</w:t>
      </w:r>
      <w:r>
        <w:rPr>
          <w:rFonts w:hint="eastAsia" w:ascii="仿宋_GB2312" w:hAnsi="宋体" w:eastAsia="仿宋_GB2312"/>
          <w:sz w:val="24"/>
          <w:szCs w:val="24"/>
          <w:highlight w:val="none"/>
        </w:rPr>
        <w:t>除锈→2道底漆→</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道面漆</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3.2.</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2</w:t>
      </w:r>
      <w:r>
        <w:rPr>
          <w:rFonts w:hint="eastAsia" w:ascii="仿宋_GB2312" w:hAnsi="宋体" w:eastAsia="仿宋_GB2312"/>
          <w:sz w:val="24"/>
          <w:szCs w:val="24"/>
          <w:highlight w:val="none"/>
        </w:rPr>
        <w:t>每道涂层厚度控制应符合</w:t>
      </w:r>
      <w:r>
        <w:rPr>
          <w:rFonts w:hint="eastAsia" w:ascii="仿宋_GB2312" w:hAnsi="宋体" w:eastAsia="仿宋_GB2312"/>
          <w:sz w:val="24"/>
          <w:szCs w:val="24"/>
          <w:highlight w:val="none"/>
          <w:lang w:eastAsia="zh-CN"/>
        </w:rPr>
        <w:t>下面的规定</w:t>
      </w:r>
    </w:p>
    <w:p>
      <w:pPr>
        <w:adjustRightInd w:val="0"/>
        <w:snapToGrid w:val="0"/>
        <w:ind w:firstLine="420"/>
        <w:rPr>
          <w:rFonts w:hint="eastAsia" w:ascii="仿宋_GB2312" w:eastAsia="仿宋_GB2312"/>
          <w:sz w:val="24"/>
          <w:szCs w:val="24"/>
          <w:highlight w:val="none"/>
          <w:shd w:val="clear" w:color="auto" w:fill="FFFFFF"/>
        </w:rPr>
      </w:pPr>
      <w:r>
        <w:rPr>
          <w:rFonts w:hint="eastAsia" w:ascii="仿宋_GB2312" w:hAnsi="宋体" w:eastAsia="仿宋_GB2312"/>
          <w:sz w:val="24"/>
          <w:szCs w:val="24"/>
          <w:highlight w:val="none"/>
        </w:rPr>
        <w:tab/>
      </w:r>
      <w:r>
        <w:rPr>
          <w:rFonts w:hint="eastAsia" w:ascii="仿宋_GB2312" w:eastAsia="仿宋_GB2312"/>
          <w:sz w:val="24"/>
          <w:szCs w:val="24"/>
          <w:highlight w:val="none"/>
          <w:shd w:val="clear" w:color="auto" w:fill="FFFFFF"/>
        </w:rPr>
        <w:t>底漆</w:t>
      </w:r>
      <w:r>
        <w:rPr>
          <w:rFonts w:hint="eastAsia" w:ascii="仿宋_GB2312" w:eastAsia="仿宋_GB2312"/>
          <w:sz w:val="24"/>
          <w:szCs w:val="24"/>
          <w:highlight w:val="none"/>
          <w:shd w:val="clear" w:color="auto" w:fill="FFFFFF"/>
          <w:lang w:eastAsia="zh-CN"/>
        </w:rPr>
        <w:t>：</w:t>
      </w:r>
      <w:r>
        <w:rPr>
          <w:rFonts w:hint="eastAsia" w:ascii="仿宋_GB2312" w:eastAsia="仿宋_GB2312"/>
          <w:sz w:val="24"/>
          <w:szCs w:val="24"/>
          <w:highlight w:val="none"/>
          <w:shd w:val="clear" w:color="auto" w:fill="FFFFFF"/>
        </w:rPr>
        <w:t xml:space="preserve"> 30</w:t>
      </w:r>
      <w:r>
        <w:rPr>
          <w:rFonts w:hint="eastAsia" w:ascii="仿宋_GB2312" w:eastAsia="仿宋_GB2312"/>
          <w:sz w:val="24"/>
          <w:szCs w:val="24"/>
          <w:highlight w:val="none"/>
          <w:shd w:val="clear" w:color="auto" w:fill="FFFFFF"/>
          <w:lang w:val="en-US" w:eastAsia="zh-CN"/>
        </w:rPr>
        <w:t>-</w:t>
      </w:r>
      <w:r>
        <w:rPr>
          <w:rFonts w:hint="eastAsia" w:ascii="仿宋_GB2312" w:eastAsia="仿宋_GB2312"/>
          <w:sz w:val="24"/>
          <w:szCs w:val="24"/>
          <w:highlight w:val="none"/>
          <w:shd w:val="clear" w:color="auto" w:fill="FFFFFF"/>
        </w:rPr>
        <w:t>35μm/道</w:t>
      </w:r>
    </w:p>
    <w:p>
      <w:pPr>
        <w:adjustRightInd w:val="0"/>
        <w:snapToGrid w:val="0"/>
        <w:ind w:firstLine="420"/>
        <w:rPr>
          <w:rFonts w:hint="eastAsia" w:ascii="仿宋_GB2312" w:eastAsia="仿宋_GB2312"/>
          <w:sz w:val="24"/>
          <w:szCs w:val="24"/>
          <w:highlight w:val="none"/>
          <w:shd w:val="clear" w:color="auto" w:fill="FFFFFF"/>
        </w:rPr>
      </w:pPr>
      <w:r>
        <w:rPr>
          <w:rFonts w:hint="eastAsia" w:ascii="仿宋_GB2312" w:eastAsia="仿宋_GB2312"/>
          <w:sz w:val="24"/>
          <w:szCs w:val="24"/>
          <w:highlight w:val="none"/>
          <w:shd w:val="clear" w:color="auto" w:fill="FFFFFF"/>
        </w:rPr>
        <w:tab/>
      </w:r>
      <w:r>
        <w:rPr>
          <w:rFonts w:hint="eastAsia" w:ascii="仿宋_GB2312" w:eastAsia="仿宋_GB2312"/>
          <w:sz w:val="24"/>
          <w:szCs w:val="24"/>
          <w:highlight w:val="none"/>
          <w:shd w:val="clear" w:color="auto" w:fill="FFFFFF"/>
        </w:rPr>
        <w:t>面漆</w:t>
      </w:r>
      <w:r>
        <w:rPr>
          <w:rFonts w:hint="eastAsia" w:ascii="仿宋_GB2312" w:eastAsia="仿宋_GB2312"/>
          <w:sz w:val="24"/>
          <w:szCs w:val="24"/>
          <w:highlight w:val="none"/>
          <w:shd w:val="clear" w:color="auto" w:fill="FFFFFF"/>
          <w:lang w:eastAsia="zh-CN"/>
        </w:rPr>
        <w:t>：</w:t>
      </w:r>
      <w:r>
        <w:rPr>
          <w:rFonts w:hint="eastAsia" w:ascii="仿宋_GB2312" w:eastAsia="仿宋_GB2312"/>
          <w:sz w:val="24"/>
          <w:szCs w:val="24"/>
          <w:highlight w:val="none"/>
          <w:shd w:val="clear" w:color="auto" w:fill="FFFFFF"/>
        </w:rPr>
        <w:t xml:space="preserve"> 30</w:t>
      </w:r>
      <w:r>
        <w:rPr>
          <w:rFonts w:hint="eastAsia" w:ascii="仿宋_GB2312" w:eastAsia="仿宋_GB2312"/>
          <w:sz w:val="24"/>
          <w:szCs w:val="24"/>
          <w:highlight w:val="none"/>
          <w:shd w:val="clear" w:color="auto" w:fill="FFFFFF"/>
          <w:lang w:val="en-US" w:eastAsia="zh-CN"/>
        </w:rPr>
        <w:t>-</w:t>
      </w:r>
      <w:r>
        <w:rPr>
          <w:rFonts w:hint="eastAsia" w:ascii="仿宋_GB2312" w:eastAsia="仿宋_GB2312"/>
          <w:sz w:val="24"/>
          <w:szCs w:val="24"/>
          <w:highlight w:val="none"/>
          <w:shd w:val="clear" w:color="auto" w:fill="FFFFFF"/>
        </w:rPr>
        <w:t>35μm/道</w:t>
      </w:r>
    </w:p>
    <w:p>
      <w:pPr>
        <w:adjustRightInd w:val="0"/>
        <w:snapToGrid w:val="0"/>
        <w:rPr>
          <w:rFonts w:hint="eastAsia" w:ascii="仿宋_GB2312" w:hAnsi="宋体" w:eastAsia="仿宋_GB2312"/>
          <w:sz w:val="24"/>
          <w:szCs w:val="24"/>
          <w:highlight w:val="none"/>
        </w:rPr>
      </w:pPr>
      <w:r>
        <w:rPr>
          <w:rFonts w:hint="eastAsia" w:ascii="仿宋_GB2312" w:eastAsia="仿宋_GB2312"/>
          <w:sz w:val="24"/>
          <w:szCs w:val="24"/>
          <w:highlight w:val="none"/>
          <w:shd w:val="clear" w:color="auto" w:fill="FFFFFF"/>
        </w:rPr>
        <w:tab/>
      </w:r>
      <w:r>
        <w:rPr>
          <w:rFonts w:hint="eastAsia" w:ascii="仿宋_GB2312" w:eastAsia="仿宋_GB2312"/>
          <w:b/>
          <w:bCs/>
          <w:sz w:val="24"/>
          <w:szCs w:val="24"/>
          <w:highlight w:val="none"/>
          <w:shd w:val="clear" w:color="auto" w:fill="FFFFFF"/>
        </w:rPr>
        <w:t>总厚度</w:t>
      </w:r>
      <w:r>
        <w:rPr>
          <w:rFonts w:hint="eastAsia" w:ascii="仿宋_GB2312" w:eastAsia="仿宋_GB2312"/>
          <w:b/>
          <w:bCs/>
          <w:sz w:val="24"/>
          <w:szCs w:val="24"/>
          <w:highlight w:val="none"/>
          <w:shd w:val="clear" w:color="auto" w:fill="FFFFFF"/>
          <w:lang w:eastAsia="zh-CN"/>
        </w:rPr>
        <w:t>：</w:t>
      </w:r>
      <w:r>
        <w:rPr>
          <w:rFonts w:hint="eastAsia" w:ascii="仿宋_GB2312" w:eastAsia="仿宋_GB2312"/>
          <w:b/>
          <w:bCs/>
          <w:sz w:val="24"/>
          <w:szCs w:val="24"/>
          <w:highlight w:val="none"/>
          <w:shd w:val="clear" w:color="auto" w:fill="FFFFFF"/>
          <w:lang w:val="en-US" w:eastAsia="zh-CN"/>
        </w:rPr>
        <w:t>120</w:t>
      </w:r>
      <w:r>
        <w:rPr>
          <w:rFonts w:hint="eastAsia" w:ascii="仿宋_GB2312" w:eastAsia="仿宋_GB2312"/>
          <w:b/>
          <w:bCs/>
          <w:sz w:val="24"/>
          <w:szCs w:val="24"/>
          <w:highlight w:val="none"/>
          <w:shd w:val="clear" w:color="auto" w:fill="FFFFFF"/>
        </w:rPr>
        <w:t>μm</w:t>
      </w:r>
      <w:r>
        <w:rPr>
          <w:rFonts w:hint="eastAsia" w:ascii="仿宋_GB2312" w:eastAsia="仿宋_GB2312"/>
          <w:b/>
          <w:bCs/>
          <w:sz w:val="24"/>
          <w:szCs w:val="24"/>
          <w:highlight w:val="none"/>
          <w:shd w:val="clear" w:color="auto" w:fill="FFFFFF"/>
          <w:lang w:eastAsia="zh-CN"/>
        </w:rPr>
        <w:t>（</w:t>
      </w:r>
      <w:r>
        <w:rPr>
          <w:rFonts w:hint="eastAsia" w:ascii="仿宋_GB2312" w:eastAsia="仿宋_GB2312"/>
          <w:b/>
          <w:bCs/>
          <w:sz w:val="24"/>
          <w:szCs w:val="24"/>
          <w:highlight w:val="none"/>
          <w:shd w:val="clear" w:color="auto" w:fill="FFFFFF"/>
        </w:rPr>
        <w:t>最小</w:t>
      </w:r>
      <w:r>
        <w:rPr>
          <w:rFonts w:hint="eastAsia" w:ascii="仿宋_GB2312" w:eastAsia="仿宋_GB2312"/>
          <w:b/>
          <w:bCs/>
          <w:sz w:val="24"/>
          <w:szCs w:val="24"/>
          <w:highlight w:val="none"/>
          <w:shd w:val="clear" w:color="auto" w:fill="FFFFFF"/>
          <w:lang w:eastAsia="zh-CN"/>
        </w:rPr>
        <w:t>）</w:t>
      </w:r>
      <w:r>
        <w:rPr>
          <w:rFonts w:hint="eastAsia" w:ascii="仿宋_GB2312" w:hAnsi="宋体" w:eastAsia="仿宋_GB2312"/>
          <w:sz w:val="24"/>
          <w:szCs w:val="24"/>
          <w:highlight w:val="none"/>
        </w:rPr>
        <w:t xml:space="preserve"> ，运行温度大于200℃以上的干膜厚度保持在</w:t>
      </w:r>
      <w:r>
        <w:rPr>
          <w:rFonts w:hint="eastAsia" w:ascii="仿宋_GB2312" w:hAnsi="宋体" w:eastAsia="仿宋_GB2312"/>
          <w:sz w:val="24"/>
          <w:szCs w:val="24"/>
          <w:highlight w:val="none"/>
          <w:lang w:val="en-US" w:eastAsia="zh-CN"/>
        </w:rPr>
        <w:t>70-80</w:t>
      </w:r>
      <w:r>
        <w:rPr>
          <w:rFonts w:hint="eastAsia" w:ascii="仿宋_GB2312" w:hAnsi="宋体" w:eastAsia="仿宋_GB2312"/>
          <w:sz w:val="24"/>
          <w:szCs w:val="24"/>
          <w:highlight w:val="none"/>
        </w:rPr>
        <w:t>μm。</w:t>
      </w:r>
    </w:p>
    <w:p>
      <w:pPr>
        <w:rPr>
          <w:rFonts w:hint="eastAsia" w:ascii="仿宋_GB2312" w:eastAsia="仿宋_GB2312"/>
          <w:sz w:val="24"/>
          <w:szCs w:val="24"/>
          <w:highlight w:val="none"/>
        </w:rPr>
      </w:pPr>
      <w:r>
        <w:rPr>
          <w:rFonts w:hint="eastAsia" w:ascii="仿宋_GB2312" w:hAnsi="宋体" w:eastAsia="仿宋_GB2312"/>
          <w:sz w:val="24"/>
          <w:szCs w:val="24"/>
          <w:highlight w:val="none"/>
        </w:rPr>
        <w:t xml:space="preserve">3.4 </w:t>
      </w:r>
      <w:r>
        <w:rPr>
          <w:rFonts w:hint="eastAsia" w:ascii="仿宋_GB2312" w:eastAsia="仿宋_GB2312"/>
          <w:sz w:val="24"/>
          <w:szCs w:val="24"/>
          <w:highlight w:val="none"/>
        </w:rPr>
        <w:t>冷水管道、</w:t>
      </w:r>
      <w:r>
        <w:rPr>
          <w:rFonts w:hint="eastAsia" w:ascii="仿宋_GB2312" w:eastAsia="仿宋_GB2312"/>
          <w:sz w:val="24"/>
          <w:szCs w:val="24"/>
          <w:highlight w:val="none"/>
          <w:lang w:val="en-US" w:eastAsia="zh-CN"/>
        </w:rPr>
        <w:t>埋地</w:t>
      </w:r>
      <w:r>
        <w:rPr>
          <w:rFonts w:hint="eastAsia" w:ascii="仿宋_GB2312" w:eastAsia="仿宋_GB2312"/>
          <w:sz w:val="24"/>
          <w:szCs w:val="24"/>
          <w:highlight w:val="none"/>
        </w:rPr>
        <w:t>管道</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3.4.1 原材料</w:t>
      </w:r>
    </w:p>
    <w:p>
      <w:pPr>
        <w:adjustRightInd w:val="0"/>
        <w:snapToGrid w:val="0"/>
        <w:ind w:firstLine="420"/>
        <w:rPr>
          <w:rFonts w:hint="eastAsia" w:ascii="仿宋_GB2312" w:hAnsi="宋体" w:eastAsia="仿宋_GB2312"/>
          <w:sz w:val="21"/>
          <w:szCs w:val="21"/>
          <w:highlight w:val="none"/>
        </w:rPr>
      </w:pPr>
      <w:r>
        <w:rPr>
          <w:rFonts w:hint="eastAsia" w:ascii="仿宋_GB2312" w:hAnsi="宋体" w:eastAsia="仿宋_GB2312"/>
          <w:sz w:val="24"/>
          <w:szCs w:val="24"/>
          <w:highlight w:val="none"/>
        </w:rPr>
        <w:t>底漆：</w:t>
      </w:r>
      <w:r>
        <w:rPr>
          <w:rFonts w:hint="eastAsia" w:ascii="仿宋_GB2312" w:eastAsia="仿宋_GB2312"/>
          <w:sz w:val="24"/>
          <w:szCs w:val="24"/>
          <w:highlight w:val="none"/>
          <w:shd w:val="clear" w:color="auto" w:fill="FFFFFF"/>
        </w:rPr>
        <w:t>环氧煤沥青防腐漆（双组分）</w:t>
      </w:r>
    </w:p>
    <w:p>
      <w:pPr>
        <w:adjustRightInd w:val="0"/>
        <w:snapToGrid w:val="0"/>
        <w:ind w:firstLine="420"/>
        <w:rPr>
          <w:rFonts w:hint="eastAsia" w:ascii="仿宋_GB2312" w:eastAsia="仿宋_GB2312"/>
          <w:sz w:val="24"/>
          <w:szCs w:val="24"/>
          <w:highlight w:val="none"/>
          <w:shd w:val="clear" w:color="auto" w:fill="FFFFFF"/>
        </w:rPr>
      </w:pPr>
      <w:r>
        <w:rPr>
          <w:rFonts w:hint="eastAsia" w:ascii="仿宋_GB2312" w:hAnsi="宋体" w:eastAsia="仿宋_GB2312"/>
          <w:sz w:val="24"/>
          <w:szCs w:val="24"/>
          <w:highlight w:val="none"/>
        </w:rPr>
        <w:t>面漆：</w:t>
      </w:r>
      <w:r>
        <w:rPr>
          <w:rFonts w:hint="eastAsia" w:ascii="仿宋_GB2312" w:eastAsia="仿宋_GB2312"/>
          <w:sz w:val="24"/>
          <w:szCs w:val="24"/>
          <w:highlight w:val="none"/>
          <w:shd w:val="clear" w:color="auto" w:fill="FFFFFF"/>
        </w:rPr>
        <w:t>环氧煤沥青漆</w:t>
      </w:r>
    </w:p>
    <w:p>
      <w:pPr>
        <w:adjustRightInd w:val="0"/>
        <w:snapToGrid w:val="0"/>
        <w:ind w:firstLine="420"/>
        <w:rPr>
          <w:rFonts w:hint="eastAsia" w:ascii="仿宋_GB2312" w:hAnsi="宋体" w:eastAsia="仿宋_GB2312"/>
          <w:sz w:val="24"/>
          <w:szCs w:val="24"/>
          <w:highlight w:val="none"/>
        </w:rPr>
      </w:pPr>
      <w:r>
        <w:rPr>
          <w:rFonts w:hint="eastAsia" w:ascii="仿宋_GB2312" w:hAnsi="宋体" w:eastAsia="仿宋_GB2312"/>
          <w:sz w:val="24"/>
          <w:szCs w:val="24"/>
          <w:highlight w:val="none"/>
        </w:rPr>
        <w:t>其它</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 xml:space="preserve"> 玻璃丝布（非石蜡乳液型的中碱、无碱粗纱玻璃纤维方格平纹布），环氧腻子</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3.4.2 施工技术要求</w:t>
      </w:r>
    </w:p>
    <w:p>
      <w:pPr>
        <w:adjustRightInd w:val="0"/>
        <w:snapToGrid w:val="0"/>
        <w:rPr>
          <w:rFonts w:hint="eastAsia" w:ascii="仿宋_GB2312" w:hAnsi="宋体" w:eastAsia="仿宋_GB2312"/>
          <w:sz w:val="24"/>
          <w:szCs w:val="24"/>
          <w:highlight w:val="none"/>
        </w:rPr>
      </w:pPr>
      <w:r>
        <w:rPr>
          <w:rFonts w:hint="eastAsia" w:ascii="仿宋_GB2312" w:hAnsi="宋体" w:eastAsia="仿宋_GB2312"/>
          <w:sz w:val="24"/>
          <w:szCs w:val="24"/>
          <w:highlight w:val="none"/>
        </w:rPr>
        <w:t>3.4.2.1施工程序</w:t>
      </w:r>
      <w:r>
        <w:rPr>
          <w:rFonts w:hint="eastAsia" w:ascii="仿宋_GB2312" w:hAnsi="宋体" w:eastAsia="仿宋_GB2312"/>
          <w:sz w:val="24"/>
          <w:szCs w:val="24"/>
          <w:highlight w:val="none"/>
          <w:lang w:val="en-US" w:eastAsia="zh-CN"/>
        </w:rPr>
        <w:t>为：</w:t>
      </w:r>
      <w:r>
        <w:rPr>
          <w:rFonts w:hint="eastAsia" w:ascii="仿宋_GB2312" w:hAnsi="宋体" w:eastAsia="仿宋_GB2312"/>
          <w:sz w:val="24"/>
          <w:szCs w:val="24"/>
          <w:highlight w:val="none"/>
        </w:rPr>
        <w:t>除锈→1道底漆→1道面漆→缠绕玻纤布→3道面漆</w:t>
      </w:r>
    </w:p>
    <w:p>
      <w:pPr>
        <w:pStyle w:val="2"/>
        <w:spacing w:line="240" w:lineRule="auto"/>
        <w:rPr>
          <w:rFonts w:hint="eastAsia" w:ascii="仿宋_GB2312" w:hAnsi="楷体" w:eastAsia="仿宋_GB2312"/>
          <w:szCs w:val="24"/>
          <w:highlight w:val="none"/>
        </w:rPr>
      </w:pPr>
      <w:bookmarkStart w:id="4" w:name="_Toc17035"/>
      <w:r>
        <w:rPr>
          <w:rFonts w:hint="eastAsia" w:ascii="仿宋_GB2312" w:hAnsi="楷体" w:eastAsia="仿宋_GB2312"/>
          <w:szCs w:val="24"/>
          <w:highlight w:val="none"/>
        </w:rPr>
        <w:t>质量、工期、资料要求</w:t>
      </w:r>
      <w:bookmarkEnd w:id="4"/>
    </w:p>
    <w:p>
      <w:pPr>
        <w:numPr>
          <w:ilvl w:val="0"/>
          <w:numId w:val="8"/>
        </w:numPr>
        <w:jc w:val="left"/>
        <w:rPr>
          <w:rFonts w:hint="eastAsia" w:ascii="仿宋_GB2312" w:hAnsi="宋体" w:eastAsia="仿宋_GB2312"/>
          <w:sz w:val="24"/>
          <w:highlight w:val="none"/>
        </w:rPr>
      </w:pPr>
      <w:r>
        <w:rPr>
          <w:rFonts w:hint="eastAsia" w:ascii="仿宋_GB2312" w:hAnsi="宋体" w:eastAsia="仿宋_GB2312"/>
          <w:sz w:val="24"/>
          <w:highlight w:val="none"/>
        </w:rPr>
        <w:t xml:space="preserve"> 质量验收要求</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投标方应认真按照有关标准、规范要求施工，随时接受招标方代表的检验，为检验提供便利条件，并按招标方代表提出的意见整改。</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涂层质量按照投标方要求的有关标准、规范及本合同的相应条款进行检查验收。以W、H点为依据，实施过程验收，未经招标方验收签字一律不得进入下</w:t>
      </w:r>
      <w:r>
        <w:rPr>
          <w:rFonts w:hint="eastAsia" w:ascii="仿宋_GB2312" w:hAnsi="宋体" w:eastAsia="仿宋_GB2312" w:cs="宋体"/>
          <w:kern w:val="0"/>
          <w:sz w:val="24"/>
          <w:szCs w:val="24"/>
          <w:highlight w:val="none"/>
          <w:lang w:eastAsia="zh-CN"/>
        </w:rPr>
        <w:t>一步</w:t>
      </w:r>
      <w:r>
        <w:rPr>
          <w:rFonts w:hint="eastAsia" w:ascii="仿宋_GB2312" w:hAnsi="宋体" w:eastAsia="仿宋_GB2312" w:cs="宋体"/>
          <w:kern w:val="0"/>
          <w:sz w:val="24"/>
          <w:szCs w:val="24"/>
          <w:highlight w:val="none"/>
        </w:rPr>
        <w:t>工序。</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涂层在质量保证期内不能有大面积鼓包和脱落。涂层表面质量：每道涂层应均匀平整、色泽一致，无皱皮、无流挂、无针孔、无气泡、无漏涂、涂层脱皮、无透底、无附膜、无漆粒等明显的缺陷。第二道底漆完毕后不能露出金属表面，中间漆施工完毕后不能露出底漆表面，面漆施工完成后不能露出中间漆表面。涂层附着力：按照GB9286－</w:t>
      </w:r>
      <w:r>
        <w:rPr>
          <w:rFonts w:hint="eastAsia" w:ascii="仿宋_GB2312" w:hAnsi="宋体" w:eastAsia="仿宋_GB2312" w:cs="宋体"/>
          <w:kern w:val="0"/>
          <w:sz w:val="24"/>
          <w:szCs w:val="24"/>
          <w:highlight w:val="none"/>
          <w:lang w:val="en-US" w:eastAsia="zh-CN"/>
        </w:rPr>
        <w:t>2021</w:t>
      </w:r>
      <w:r>
        <w:rPr>
          <w:rFonts w:hint="eastAsia" w:ascii="仿宋_GB2312" w:hAnsi="宋体" w:eastAsia="仿宋_GB2312" w:cs="宋体"/>
          <w:kern w:val="0"/>
          <w:sz w:val="24"/>
          <w:szCs w:val="24"/>
          <w:highlight w:val="none"/>
        </w:rPr>
        <w:t>《</w:t>
      </w:r>
      <w:r>
        <w:rPr>
          <w:rFonts w:hint="default" w:ascii="仿宋_GB2312" w:hAnsi="宋体" w:eastAsia="仿宋_GB2312" w:cs="宋体"/>
          <w:kern w:val="0"/>
          <w:sz w:val="24"/>
          <w:szCs w:val="24"/>
          <w:highlight w:val="none"/>
        </w:rPr>
        <w:t>色漆和清漆划格试验</w:t>
      </w:r>
      <w:r>
        <w:rPr>
          <w:rFonts w:hint="eastAsia" w:ascii="仿宋_GB2312" w:hAnsi="宋体" w:eastAsia="仿宋_GB2312" w:cs="宋体"/>
          <w:kern w:val="0"/>
          <w:sz w:val="24"/>
          <w:szCs w:val="24"/>
          <w:highlight w:val="none"/>
          <w:lang w:eastAsia="zh-CN"/>
        </w:rPr>
        <w:t>》</w:t>
      </w:r>
      <w:r>
        <w:rPr>
          <w:rFonts w:hint="eastAsia" w:ascii="仿宋_GB2312" w:hAnsi="宋体" w:eastAsia="仿宋_GB2312" w:cs="宋体"/>
          <w:kern w:val="0"/>
          <w:sz w:val="24"/>
          <w:szCs w:val="24"/>
          <w:highlight w:val="none"/>
        </w:rPr>
        <w:t>或GB1720－</w:t>
      </w:r>
      <w:r>
        <w:rPr>
          <w:rFonts w:hint="eastAsia" w:ascii="仿宋_GB2312" w:hAnsi="宋体" w:eastAsia="仿宋_GB2312" w:cs="宋体"/>
          <w:kern w:val="0"/>
          <w:sz w:val="24"/>
          <w:szCs w:val="24"/>
          <w:highlight w:val="none"/>
          <w:lang w:val="en-US" w:eastAsia="zh-CN"/>
        </w:rPr>
        <w:t>2020</w:t>
      </w:r>
      <w:r>
        <w:rPr>
          <w:rFonts w:hint="eastAsia" w:ascii="仿宋_GB2312" w:hAnsi="宋体" w:eastAsia="仿宋_GB2312" w:cs="宋体"/>
          <w:kern w:val="0"/>
          <w:sz w:val="24"/>
          <w:szCs w:val="24"/>
          <w:highlight w:val="none"/>
        </w:rPr>
        <w:t>《</w:t>
      </w:r>
      <w:r>
        <w:rPr>
          <w:rFonts w:hint="default" w:ascii="仿宋_GB2312" w:hAnsi="宋体" w:eastAsia="仿宋_GB2312" w:cs="宋体"/>
          <w:kern w:val="0"/>
          <w:sz w:val="24"/>
          <w:szCs w:val="24"/>
          <w:highlight w:val="none"/>
        </w:rPr>
        <w:t>漆膜划圈试验</w:t>
      </w:r>
      <w:r>
        <w:rPr>
          <w:rFonts w:hint="eastAsia" w:ascii="仿宋_GB2312" w:hAnsi="宋体" w:eastAsia="仿宋_GB2312" w:cs="宋体"/>
          <w:kern w:val="0"/>
          <w:sz w:val="24"/>
          <w:szCs w:val="24"/>
          <w:highlight w:val="none"/>
        </w:rPr>
        <w:t>》进行涂层附着力测试。</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面漆和底漆涂装应均匀，表面有色泽，颜色均匀一致。</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涂料施工必须在干燥气候下进行，已施工完的涂料表面在固化前要防止受潮，以免影响涂层质量。</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质量优良率达95％，方可算为合格工程。</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w:t>
      </w:r>
      <w:r>
        <w:rPr>
          <w:rFonts w:hint="eastAsia" w:ascii="仿宋_GB2312" w:hAnsi="宋体" w:eastAsia="仿宋_GB2312" w:cs="宋体"/>
          <w:kern w:val="0"/>
          <w:sz w:val="24"/>
          <w:szCs w:val="24"/>
          <w:highlight w:val="none"/>
          <w:lang w:val="en-US" w:eastAsia="zh-CN"/>
        </w:rPr>
        <w:t>设备防腐、刷漆后的整体效果须满足川南发电公司目</w:t>
      </w:r>
      <w:r>
        <w:rPr>
          <w:rFonts w:hint="eastAsia" w:ascii="仿宋_GB2312" w:hAnsi="宋体" w:eastAsia="仿宋_GB2312" w:cs="宋体"/>
          <w:color w:val="auto"/>
          <w:kern w:val="0"/>
          <w:sz w:val="24"/>
          <w:szCs w:val="24"/>
          <w:highlight w:val="none"/>
          <w:lang w:val="en-US" w:eastAsia="zh-CN"/>
        </w:rPr>
        <w:t>视化管理标准</w:t>
      </w:r>
      <w:r>
        <w:rPr>
          <w:rFonts w:hint="eastAsia" w:ascii="仿宋_GB2312" w:hAnsi="宋体" w:eastAsia="仿宋_GB2312" w:cs="宋体"/>
          <w:kern w:val="0"/>
          <w:sz w:val="24"/>
          <w:szCs w:val="24"/>
          <w:highlight w:val="none"/>
          <w:lang w:val="en-US" w:eastAsia="zh-CN"/>
        </w:rPr>
        <w:t>的相关要求，如对设备本体整体防腐刷漆时，电机、支架、线管等存在锈蚀的附属设施须一同纳入处理范围，严禁附属设备与主体设备颜色及整体效果的不协调。</w:t>
      </w:r>
    </w:p>
    <w:p>
      <w:pPr>
        <w:numPr>
          <w:ilvl w:val="1"/>
          <w:numId w:val="9"/>
        </w:numPr>
        <w:autoSpaceDE w:val="0"/>
        <w:autoSpaceDN w:val="0"/>
        <w:adjustRightInd w:val="0"/>
        <w:ind w:left="0" w:firstLine="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未尽事宜，双方协商解决。</w:t>
      </w:r>
    </w:p>
    <w:p>
      <w:pPr>
        <w:numPr>
          <w:ilvl w:val="0"/>
          <w:numId w:val="8"/>
        </w:numPr>
        <w:jc w:val="left"/>
        <w:rPr>
          <w:rFonts w:hint="eastAsia" w:ascii="仿宋_GB2312" w:hAnsi="宋体" w:eastAsia="仿宋_GB2312"/>
          <w:sz w:val="24"/>
          <w:highlight w:val="none"/>
        </w:rPr>
      </w:pPr>
      <w:r>
        <w:rPr>
          <w:rFonts w:hint="eastAsia" w:ascii="仿宋_GB2312" w:hAnsi="宋体" w:eastAsia="仿宋_GB2312"/>
          <w:sz w:val="24"/>
          <w:highlight w:val="none"/>
        </w:rPr>
        <w:t>防腐过程监督与验收流程</w:t>
      </w:r>
    </w:p>
    <w:p>
      <w:pPr>
        <w:ind w:firstLine="464" w:firstLineChars="200"/>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设备防腐过程中，要求投标方防腐人员严格按防腐技术及工艺要求施工，招、投方施工及监督人员共同对防腐工艺、质量严格控制，不得出现防腐质量问题。过程监督不代替最终质量验收，不免除在质量保证期因质量问题需投标方承担的责任。为加强设备防腐工作的过程质量管理，对设备防腐工作验收流程要求如下：</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 每一个专业对应的设备防腐工作都应进行分步布置、验收和签字确认。</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1</w:t>
      </w:r>
      <w:r>
        <w:rPr>
          <w:rFonts w:hint="eastAsia" w:ascii="仿宋_GB2312" w:hAnsi="宋体" w:eastAsia="仿宋_GB2312"/>
          <w:spacing w:val="-4"/>
          <w:sz w:val="24"/>
          <w:szCs w:val="24"/>
          <w:highlight w:val="none"/>
        </w:rPr>
        <w:t xml:space="preserve"> 设备防腐前，对需防腐设备的完好性进行检查，</w:t>
      </w:r>
      <w:r>
        <w:rPr>
          <w:rFonts w:hint="eastAsia" w:ascii="仿宋_GB2312" w:hAnsi="宋体" w:eastAsia="仿宋_GB2312"/>
          <w:b/>
          <w:bCs/>
          <w:color w:val="auto"/>
          <w:spacing w:val="-4"/>
          <w:sz w:val="24"/>
          <w:szCs w:val="24"/>
          <w:highlight w:val="none"/>
        </w:rPr>
        <w:t>并第一次签字确认。</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1</w:t>
      </w:r>
      <w:r>
        <w:rPr>
          <w:rFonts w:hint="eastAsia" w:ascii="仿宋_GB2312" w:hAnsi="宋体" w:eastAsia="仿宋_GB2312"/>
          <w:spacing w:val="-4"/>
          <w:sz w:val="24"/>
          <w:szCs w:val="24"/>
          <w:highlight w:val="none"/>
        </w:rPr>
        <w:t>.1 招标方的设备维修部组织检查确认，如设备腐蚀严重，应安排对设备进行整改，整改完成后再进行设备防腐除锈工作。</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1</w:t>
      </w:r>
      <w:r>
        <w:rPr>
          <w:rFonts w:hint="eastAsia" w:ascii="仿宋_GB2312" w:hAnsi="宋体" w:eastAsia="仿宋_GB2312"/>
          <w:spacing w:val="-4"/>
          <w:sz w:val="24"/>
          <w:szCs w:val="24"/>
          <w:highlight w:val="none"/>
        </w:rPr>
        <w:t>.2 投标方进行设备防腐工作前也应检查防腐设备的完好情况，若设备已腐蚀损坏，则应告知招标方进行检修整改后再进行防腐。</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2</w:t>
      </w:r>
      <w:r>
        <w:rPr>
          <w:rFonts w:hint="eastAsia" w:ascii="仿宋_GB2312" w:hAnsi="宋体" w:eastAsia="仿宋_GB2312"/>
          <w:spacing w:val="-4"/>
          <w:sz w:val="24"/>
          <w:szCs w:val="24"/>
          <w:highlight w:val="none"/>
        </w:rPr>
        <w:t xml:space="preserve"> 设备除锈结束，投标方应先内部验收合格后，立即通知招标方对除锈情况进行质量验收，</w:t>
      </w:r>
      <w:r>
        <w:rPr>
          <w:rFonts w:hint="eastAsia" w:ascii="仿宋_GB2312" w:hAnsi="宋体" w:eastAsia="仿宋_GB2312"/>
          <w:b w:val="0"/>
          <w:bCs w:val="0"/>
          <w:color w:val="auto"/>
          <w:spacing w:val="-4"/>
          <w:sz w:val="24"/>
          <w:szCs w:val="24"/>
          <w:highlight w:val="none"/>
        </w:rPr>
        <w:t>验收完成后应</w:t>
      </w:r>
      <w:r>
        <w:rPr>
          <w:rFonts w:hint="eastAsia" w:ascii="仿宋_GB2312" w:hAnsi="宋体" w:eastAsia="仿宋_GB2312"/>
          <w:b/>
          <w:bCs/>
          <w:color w:val="auto"/>
          <w:spacing w:val="-4"/>
          <w:sz w:val="24"/>
          <w:szCs w:val="24"/>
          <w:highlight w:val="none"/>
        </w:rPr>
        <w:t>第二次签字确认。</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由招标方的设备维修部组织验收，防腐除锈后的设备表面不应有铁锈、焊渣、灰尘、油污和毛刺等，验收合格后，在返锈之前涂刷底层油漆。</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3</w:t>
      </w:r>
      <w:r>
        <w:rPr>
          <w:rFonts w:hint="eastAsia" w:ascii="仿宋_GB2312" w:hAnsi="宋体" w:eastAsia="仿宋_GB2312"/>
          <w:spacing w:val="-4"/>
          <w:sz w:val="24"/>
          <w:szCs w:val="24"/>
          <w:highlight w:val="none"/>
        </w:rPr>
        <w:t xml:space="preserve"> 第二道底漆涂刷完毕，投标方应先内部验收合格后，立即通知招标方对底漆涂刷情况组织验收，</w:t>
      </w:r>
      <w:r>
        <w:rPr>
          <w:rFonts w:hint="eastAsia" w:ascii="仿宋_GB2312" w:hAnsi="宋体" w:eastAsia="仿宋_GB2312"/>
          <w:b w:val="0"/>
          <w:bCs w:val="0"/>
          <w:color w:val="auto"/>
          <w:spacing w:val="-4"/>
          <w:sz w:val="24"/>
          <w:szCs w:val="24"/>
          <w:highlight w:val="none"/>
        </w:rPr>
        <w:t>验收完成后应</w:t>
      </w:r>
      <w:r>
        <w:rPr>
          <w:rFonts w:hint="eastAsia" w:ascii="仿宋_GB2312" w:hAnsi="宋体" w:eastAsia="仿宋_GB2312"/>
          <w:b/>
          <w:bCs/>
          <w:color w:val="auto"/>
          <w:spacing w:val="-4"/>
          <w:sz w:val="24"/>
          <w:szCs w:val="24"/>
          <w:highlight w:val="none"/>
        </w:rPr>
        <w:t>第三次签字确认。</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由招标方的设备维修部组织验收，底漆涂层应均匀、无明显邹皮、流坠、针眼、返锈和气泡等缺陷，底漆涂装后4h内不应受雨淋。</w:t>
      </w:r>
    </w:p>
    <w:p>
      <w:pPr>
        <w:rPr>
          <w:rFonts w:ascii="Calibri" w:hAnsi="Calibri"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4</w:t>
      </w:r>
      <w:r>
        <w:rPr>
          <w:rFonts w:hint="eastAsia" w:ascii="仿宋_GB2312" w:hAnsi="宋体" w:eastAsia="仿宋_GB2312"/>
          <w:spacing w:val="-4"/>
          <w:sz w:val="24"/>
          <w:szCs w:val="24"/>
          <w:highlight w:val="none"/>
        </w:rPr>
        <w:t xml:space="preserve"> 中间漆涂刷完毕，投标方应先内部验收合格后，通知招标方对中间漆涂刷情况组织验收，</w:t>
      </w:r>
      <w:r>
        <w:rPr>
          <w:rFonts w:hint="eastAsia" w:ascii="仿宋_GB2312" w:hAnsi="宋体" w:eastAsia="仿宋_GB2312"/>
          <w:b w:val="0"/>
          <w:bCs w:val="0"/>
          <w:color w:val="auto"/>
          <w:spacing w:val="-4"/>
          <w:sz w:val="24"/>
          <w:szCs w:val="24"/>
          <w:highlight w:val="none"/>
        </w:rPr>
        <w:t>验收完成后应</w:t>
      </w:r>
      <w:r>
        <w:rPr>
          <w:rFonts w:hint="eastAsia" w:ascii="仿宋_GB2312" w:hAnsi="宋体" w:eastAsia="仿宋_GB2312"/>
          <w:b/>
          <w:bCs/>
          <w:color w:val="auto"/>
          <w:spacing w:val="-4"/>
          <w:sz w:val="24"/>
          <w:szCs w:val="24"/>
          <w:highlight w:val="none"/>
        </w:rPr>
        <w:t>第四次签字确认。</w:t>
      </w:r>
    </w:p>
    <w:p>
      <w:pPr>
        <w:rPr>
          <w:rFonts w:hint="eastAsia" w:ascii="Calibri" w:hAnsi="Calibri"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5</w:t>
      </w:r>
      <w:r>
        <w:rPr>
          <w:rFonts w:ascii="仿宋_GB2312" w:hAnsi="宋体" w:eastAsia="仿宋_GB2312"/>
          <w:spacing w:val="-4"/>
          <w:sz w:val="24"/>
          <w:szCs w:val="24"/>
          <w:highlight w:val="none"/>
        </w:rPr>
        <w:t xml:space="preserve"> </w:t>
      </w:r>
      <w:r>
        <w:rPr>
          <w:rFonts w:hint="eastAsia" w:ascii="仿宋_GB2312" w:hAnsi="宋体" w:eastAsia="仿宋_GB2312"/>
          <w:spacing w:val="-4"/>
          <w:sz w:val="24"/>
          <w:szCs w:val="24"/>
          <w:highlight w:val="none"/>
        </w:rPr>
        <w:t>面漆涂刷完成后防腐验收前，投标方应采用白色喷漆采用拓印方法标注面漆完成日期。</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2.1.</w:t>
      </w:r>
      <w:r>
        <w:rPr>
          <w:rFonts w:hint="eastAsia" w:ascii="仿宋_GB2312" w:hAnsi="宋体" w:eastAsia="仿宋_GB2312"/>
          <w:spacing w:val="-4"/>
          <w:sz w:val="24"/>
          <w:szCs w:val="24"/>
          <w:highlight w:val="none"/>
          <w:lang w:val="en-US" w:eastAsia="zh-CN"/>
        </w:rPr>
        <w:t>6</w:t>
      </w:r>
      <w:r>
        <w:rPr>
          <w:rFonts w:hint="eastAsia" w:ascii="仿宋_GB2312" w:hAnsi="宋体" w:eastAsia="仿宋_GB2312"/>
          <w:spacing w:val="-4"/>
          <w:sz w:val="24"/>
          <w:szCs w:val="24"/>
          <w:highlight w:val="none"/>
        </w:rPr>
        <w:t xml:space="preserve"> 设备防腐工作完成，投标方应先内部验收合格后，立即通知招标方对防腐工作进行整体质量验收；现场整洁应无施工遗留物、无污染地面</w:t>
      </w:r>
      <w:r>
        <w:rPr>
          <w:rFonts w:hint="eastAsia" w:ascii="仿宋_GB2312" w:hAnsi="宋体" w:eastAsia="仿宋_GB2312"/>
          <w:spacing w:val="-4"/>
          <w:sz w:val="24"/>
          <w:szCs w:val="24"/>
          <w:highlight w:val="none"/>
          <w:lang w:eastAsia="zh-CN"/>
        </w:rPr>
        <w:t>及其他</w:t>
      </w:r>
      <w:r>
        <w:rPr>
          <w:rFonts w:hint="eastAsia" w:ascii="仿宋_GB2312" w:hAnsi="宋体" w:eastAsia="仿宋_GB2312"/>
          <w:spacing w:val="-4"/>
          <w:sz w:val="24"/>
          <w:szCs w:val="24"/>
          <w:highlight w:val="none"/>
        </w:rPr>
        <w:t>设备，设备标识、介质流向标识等满足要求，面漆涂刷均匀饱满，无漏涂和流坠，面漆颜色与防腐前设备验收一致，</w:t>
      </w:r>
      <w:r>
        <w:rPr>
          <w:rFonts w:hint="eastAsia" w:ascii="仿宋_GB2312" w:hAnsi="宋体" w:eastAsia="仿宋_GB2312"/>
          <w:b w:val="0"/>
          <w:bCs w:val="0"/>
          <w:color w:val="auto"/>
          <w:spacing w:val="-4"/>
          <w:sz w:val="24"/>
          <w:szCs w:val="24"/>
          <w:highlight w:val="none"/>
        </w:rPr>
        <w:t>验收完成后应</w:t>
      </w:r>
      <w:r>
        <w:rPr>
          <w:rFonts w:hint="eastAsia" w:ascii="仿宋_GB2312" w:hAnsi="宋体" w:eastAsia="仿宋_GB2312"/>
          <w:b/>
          <w:bCs/>
          <w:color w:val="auto"/>
          <w:spacing w:val="-4"/>
          <w:sz w:val="24"/>
          <w:szCs w:val="24"/>
          <w:highlight w:val="none"/>
        </w:rPr>
        <w:t>第五次签字确认。</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2.2 招标方管理部门可随时对防腐设备的签证情况进行抽查，若发现正在进行的设备防腐工作没有按要求签字验收（或属于事后补签字），则认为投标方没有按规定工序进行设备防腐工作，投标方应立即对设备防腐进行返工处理，由此产生的费用由投标方承担。</w:t>
      </w:r>
    </w:p>
    <w:p>
      <w:pPr>
        <w:numPr>
          <w:ilvl w:val="0"/>
          <w:numId w:val="8"/>
        </w:numPr>
        <w:jc w:val="left"/>
        <w:rPr>
          <w:rFonts w:hint="eastAsia" w:ascii="仿宋_GB2312" w:hAnsi="宋体" w:eastAsia="仿宋_GB2312"/>
          <w:sz w:val="24"/>
          <w:highlight w:val="none"/>
        </w:rPr>
      </w:pPr>
      <w:r>
        <w:rPr>
          <w:rFonts w:hint="eastAsia" w:ascii="仿宋_GB2312" w:hAnsi="宋体" w:eastAsia="仿宋_GB2312"/>
          <w:sz w:val="24"/>
          <w:highlight w:val="none"/>
        </w:rPr>
        <w:t>质量保证期</w:t>
      </w:r>
    </w:p>
    <w:p>
      <w:pPr>
        <w:autoSpaceDE w:val="0"/>
        <w:autoSpaceDN w:val="0"/>
        <w:adjustRightInd w:val="0"/>
        <w:rPr>
          <w:rFonts w:hint="eastAsia" w:ascii="仿宋_GB2312" w:hAnsi="宋体" w:eastAsia="仿宋_GB2312" w:cs="宋体"/>
          <w:kern w:val="0"/>
          <w:sz w:val="24"/>
          <w:szCs w:val="24"/>
          <w:highlight w:val="none"/>
          <w:lang w:eastAsia="zh-CN"/>
        </w:rPr>
      </w:pPr>
      <w:r>
        <w:rPr>
          <w:rFonts w:hint="eastAsia" w:ascii="仿宋_GB2312" w:hAnsi="宋体" w:eastAsia="仿宋_GB2312" w:cs="宋体"/>
          <w:kern w:val="0"/>
          <w:sz w:val="24"/>
          <w:szCs w:val="24"/>
          <w:highlight w:val="none"/>
        </w:rPr>
        <w:t>3.1</w:t>
      </w:r>
      <w:r>
        <w:rPr>
          <w:rFonts w:hint="eastAsia" w:ascii="仿宋_GB2312" w:hAnsi="宋体" w:eastAsia="仿宋_GB2312" w:cs="宋体"/>
          <w:b w:val="0"/>
          <w:bCs w:val="0"/>
          <w:kern w:val="0"/>
          <w:sz w:val="24"/>
          <w:szCs w:val="24"/>
          <w:highlight w:val="none"/>
        </w:rPr>
        <w:t xml:space="preserve"> 涂层有效保护保证期≥3年</w:t>
      </w:r>
      <w:r>
        <w:rPr>
          <w:rFonts w:hint="eastAsia" w:ascii="仿宋_GB2312" w:hAnsi="宋体" w:eastAsia="仿宋_GB2312" w:cs="宋体"/>
          <w:b w:val="0"/>
          <w:bCs w:val="0"/>
          <w:kern w:val="0"/>
          <w:sz w:val="24"/>
          <w:szCs w:val="24"/>
          <w:highlight w:val="none"/>
          <w:lang w:eastAsia="zh-CN"/>
        </w:rPr>
        <w:t>。</w:t>
      </w:r>
    </w:p>
    <w:p>
      <w:pPr>
        <w:autoSpaceDE w:val="0"/>
        <w:autoSpaceDN w:val="0"/>
        <w:adjustRightInd w:val="0"/>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3.2 涂层在有效保证期内，涂层出现质量问题，投标方对有质量问题的涂层进行免费处理。 </w:t>
      </w:r>
    </w:p>
    <w:p>
      <w:pPr>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3.3 质量保证期内投标方负责赔偿因涂层质量对招标方造成的所有损失。</w:t>
      </w:r>
    </w:p>
    <w:p>
      <w:pPr>
        <w:numPr>
          <w:ilvl w:val="0"/>
          <w:numId w:val="8"/>
        </w:numPr>
        <w:jc w:val="left"/>
        <w:rPr>
          <w:rFonts w:hint="eastAsia" w:ascii="仿宋_GB2312" w:hAnsi="宋体" w:eastAsia="仿宋_GB2312"/>
          <w:sz w:val="24"/>
          <w:highlight w:val="none"/>
        </w:rPr>
      </w:pPr>
      <w:r>
        <w:rPr>
          <w:rFonts w:hint="eastAsia" w:ascii="仿宋_GB2312" w:hAnsi="宋体" w:eastAsia="仿宋_GB2312"/>
          <w:sz w:val="24"/>
          <w:highlight w:val="none"/>
        </w:rPr>
        <w:t>工期</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 xml:space="preserve">4.1 </w:t>
      </w:r>
      <w:r>
        <w:rPr>
          <w:rFonts w:hint="eastAsia" w:ascii="仿宋_GB2312" w:hAnsi="宋体" w:eastAsia="仿宋_GB2312"/>
          <w:b w:val="0"/>
          <w:bCs/>
          <w:spacing w:val="-4"/>
          <w:sz w:val="24"/>
          <w:szCs w:val="24"/>
          <w:highlight w:val="none"/>
        </w:rPr>
        <w:t>防腐工程施工截止日期：</w:t>
      </w:r>
      <w:r>
        <w:rPr>
          <w:rFonts w:hint="eastAsia" w:ascii="仿宋_GB2312" w:hAnsi="宋体" w:eastAsia="仿宋_GB2312"/>
          <w:b w:val="0"/>
          <w:bCs/>
          <w:spacing w:val="-4"/>
          <w:sz w:val="24"/>
          <w:szCs w:val="24"/>
          <w:highlight w:val="none"/>
          <w:lang w:eastAsia="zh-CN"/>
        </w:rPr>
        <w:t>202</w:t>
      </w:r>
      <w:r>
        <w:rPr>
          <w:rFonts w:hint="eastAsia" w:ascii="仿宋_GB2312" w:hAnsi="宋体" w:eastAsia="仿宋_GB2312"/>
          <w:b w:val="0"/>
          <w:bCs/>
          <w:spacing w:val="-4"/>
          <w:sz w:val="24"/>
          <w:szCs w:val="24"/>
          <w:highlight w:val="none"/>
          <w:lang w:val="en-US" w:eastAsia="zh-CN"/>
        </w:rPr>
        <w:t>4</w:t>
      </w:r>
      <w:r>
        <w:rPr>
          <w:rFonts w:hint="eastAsia" w:ascii="仿宋_GB2312" w:hAnsi="宋体" w:eastAsia="仿宋_GB2312"/>
          <w:b w:val="0"/>
          <w:bCs/>
          <w:spacing w:val="-4"/>
          <w:sz w:val="24"/>
          <w:szCs w:val="24"/>
          <w:highlight w:val="none"/>
          <w:lang w:eastAsia="zh-CN"/>
        </w:rPr>
        <w:t>年</w:t>
      </w:r>
      <w:r>
        <w:rPr>
          <w:rFonts w:hint="eastAsia" w:ascii="仿宋_GB2312" w:hAnsi="宋体" w:eastAsia="仿宋_GB2312"/>
          <w:b w:val="0"/>
          <w:bCs/>
          <w:spacing w:val="-4"/>
          <w:sz w:val="24"/>
          <w:szCs w:val="24"/>
          <w:highlight w:val="none"/>
          <w:lang w:val="en-US" w:eastAsia="zh-CN"/>
        </w:rPr>
        <w:t>12</w:t>
      </w:r>
      <w:r>
        <w:rPr>
          <w:rFonts w:hint="eastAsia" w:ascii="仿宋_GB2312" w:hAnsi="宋体" w:eastAsia="仿宋_GB2312"/>
          <w:b w:val="0"/>
          <w:bCs/>
          <w:spacing w:val="-4"/>
          <w:sz w:val="24"/>
          <w:szCs w:val="24"/>
          <w:highlight w:val="none"/>
        </w:rPr>
        <w:t>月31日。</w:t>
      </w:r>
    </w:p>
    <w:p>
      <w:pPr>
        <w:rPr>
          <w:rFonts w:hint="default" w:ascii="仿宋_GB2312" w:hAnsi="宋体" w:eastAsia="仿宋_GB2312"/>
          <w:spacing w:val="-4"/>
          <w:sz w:val="24"/>
          <w:szCs w:val="24"/>
          <w:highlight w:val="none"/>
          <w:lang w:val="en-US" w:eastAsia="zh-CN"/>
        </w:rPr>
      </w:pPr>
      <w:r>
        <w:rPr>
          <w:rFonts w:hint="eastAsia" w:ascii="仿宋_GB2312" w:hAnsi="宋体" w:eastAsia="仿宋_GB2312"/>
          <w:spacing w:val="-4"/>
          <w:sz w:val="24"/>
          <w:szCs w:val="24"/>
          <w:highlight w:val="none"/>
        </w:rPr>
        <w:t>4.2 投标方入场后提供进度计划表供招标方审核</w:t>
      </w:r>
      <w:r>
        <w:rPr>
          <w:rFonts w:hint="eastAsia" w:ascii="仿宋_GB2312" w:hAnsi="宋体" w:eastAsia="仿宋_GB2312"/>
          <w:spacing w:val="-4"/>
          <w:sz w:val="24"/>
          <w:szCs w:val="24"/>
          <w:highlight w:val="none"/>
          <w:lang w:eastAsia="zh-CN"/>
        </w:rPr>
        <w:t>，</w:t>
      </w:r>
      <w:r>
        <w:rPr>
          <w:rFonts w:hint="eastAsia" w:ascii="仿宋_GB2312" w:hAnsi="宋体" w:eastAsia="仿宋_GB2312"/>
          <w:spacing w:val="-4"/>
          <w:sz w:val="24"/>
          <w:szCs w:val="24"/>
          <w:highlight w:val="none"/>
          <w:lang w:val="en-US" w:eastAsia="zh-CN"/>
        </w:rPr>
        <w:t>以每月完成防腐工作为节点考核进度。</w:t>
      </w:r>
      <w:r>
        <w:rPr>
          <w:rFonts w:hint="eastAsia" w:ascii="仿宋_GB2312" w:hAnsi="宋体" w:eastAsia="仿宋_GB2312"/>
          <w:spacing w:val="-4"/>
          <w:sz w:val="24"/>
          <w:szCs w:val="24"/>
          <w:highlight w:val="none"/>
        </w:rPr>
        <w:t>每月5日前提供上月防腐内容完成情况，本月防腐计划，对未按期完成的部分进行说明</w:t>
      </w:r>
      <w:r>
        <w:rPr>
          <w:rFonts w:hint="eastAsia" w:ascii="仿宋_GB2312" w:hAnsi="宋体" w:eastAsia="仿宋_GB2312"/>
          <w:spacing w:val="-4"/>
          <w:sz w:val="24"/>
          <w:szCs w:val="24"/>
          <w:highlight w:val="none"/>
          <w:lang w:eastAsia="zh-CN"/>
        </w:rPr>
        <w:t>。</w:t>
      </w:r>
      <w:r>
        <w:rPr>
          <w:rFonts w:hint="eastAsia" w:ascii="仿宋_GB2312" w:hAnsi="宋体" w:eastAsia="仿宋_GB2312"/>
          <w:spacing w:val="-4"/>
          <w:sz w:val="24"/>
          <w:szCs w:val="24"/>
          <w:highlight w:val="none"/>
          <w:lang w:val="en-US" w:eastAsia="zh-CN"/>
        </w:rPr>
        <w:t>投标方应在每周五向生产技术部金属专责提交下一周的防腐周计划。</w:t>
      </w:r>
    </w:p>
    <w:p>
      <w:pPr>
        <w:rPr>
          <w:rFonts w:hint="eastAsia" w:ascii="仿宋_GB2312" w:hAnsi="宋体" w:eastAsia="仿宋_GB2312"/>
          <w:spacing w:val="-4"/>
          <w:sz w:val="24"/>
          <w:szCs w:val="24"/>
          <w:highlight w:val="none"/>
        </w:rPr>
      </w:pPr>
      <w:r>
        <w:rPr>
          <w:rFonts w:hint="eastAsia" w:ascii="仿宋_GB2312" w:hAnsi="宋体" w:eastAsia="仿宋_GB2312"/>
          <w:spacing w:val="-4"/>
          <w:sz w:val="24"/>
          <w:szCs w:val="24"/>
          <w:highlight w:val="none"/>
        </w:rPr>
        <w:t>4.3 投标方进场时间由招标方提前一周通知，施工时间必须规定时间（或检修期间）内完成。</w:t>
      </w:r>
    </w:p>
    <w:p>
      <w:pPr>
        <w:numPr>
          <w:ilvl w:val="0"/>
          <w:numId w:val="8"/>
        </w:numPr>
        <w:jc w:val="left"/>
        <w:rPr>
          <w:rFonts w:hint="eastAsia" w:ascii="仿宋_GB2312" w:hAnsi="宋体" w:eastAsia="仿宋_GB2312"/>
          <w:sz w:val="24"/>
          <w:highlight w:val="none"/>
        </w:rPr>
      </w:pPr>
      <w:r>
        <w:rPr>
          <w:rFonts w:hint="eastAsia" w:ascii="仿宋_GB2312" w:hAnsi="宋体" w:eastAsia="仿宋_GB2312"/>
          <w:sz w:val="24"/>
          <w:highlight w:val="none"/>
        </w:rPr>
        <w:t>资料要求</w:t>
      </w:r>
    </w:p>
    <w:p>
      <w:pPr>
        <w:ind w:left="1" w:firstLine="360" w:firstLineChars="150"/>
        <w:rPr>
          <w:rFonts w:hint="eastAsia" w:ascii="仿宋_GB2312" w:hAnsi="宋体" w:eastAsia="仿宋_GB2312"/>
          <w:sz w:val="24"/>
          <w:szCs w:val="24"/>
          <w:highlight w:val="none"/>
        </w:rPr>
      </w:pPr>
      <w:r>
        <w:rPr>
          <w:rFonts w:hint="eastAsia" w:ascii="仿宋_GB2312" w:hAnsi="宋体" w:eastAsia="仿宋_GB2312" w:cs="宋体"/>
          <w:kern w:val="0"/>
          <w:sz w:val="24"/>
          <w:szCs w:val="24"/>
          <w:highlight w:val="none"/>
        </w:rPr>
        <w:t>投标方应在竣工验收后一周内向招标方提供竣工资料，按四川泸州川南发电有限责任公司要求归档；竣工资料不完整或不符合要求，不结算付款。</w:t>
      </w:r>
    </w:p>
    <w:p>
      <w:pPr>
        <w:rPr>
          <w:rFonts w:hint="eastAsia" w:ascii="仿宋_GB2312" w:hAnsi="宋体" w:eastAsia="仿宋_GB2312"/>
          <w:sz w:val="24"/>
          <w:szCs w:val="24"/>
          <w:highlight w:val="none"/>
        </w:rPr>
      </w:pPr>
      <w:r>
        <w:rPr>
          <w:rFonts w:hint="eastAsia" w:ascii="仿宋_GB2312" w:hAnsi="宋体" w:eastAsia="仿宋_GB2312"/>
          <w:sz w:val="24"/>
          <w:szCs w:val="24"/>
          <w:highlight w:val="none"/>
        </w:rPr>
        <w:t>5.1 入场施工前提供：产品手册3份、产品合格证；</w:t>
      </w:r>
    </w:p>
    <w:p>
      <w:pPr>
        <w:rPr>
          <w:rFonts w:hint="eastAsia" w:ascii="仿宋_GB2312" w:hAnsi="宋体" w:eastAsia="仿宋_GB2312"/>
          <w:sz w:val="24"/>
          <w:szCs w:val="24"/>
          <w:highlight w:val="none"/>
        </w:rPr>
      </w:pPr>
      <w:r>
        <w:rPr>
          <w:rFonts w:hint="eastAsia" w:ascii="仿宋_GB2312" w:hAnsi="宋体" w:eastAsia="仿宋_GB2312"/>
          <w:sz w:val="24"/>
          <w:szCs w:val="24"/>
          <w:highlight w:val="none"/>
        </w:rPr>
        <w:t xml:space="preserve">5.2 </w:t>
      </w:r>
      <w:r>
        <w:rPr>
          <w:rFonts w:hint="eastAsia" w:ascii="仿宋_GB2312" w:hAnsi="宋体" w:eastAsia="仿宋_GB2312" w:cs="宋体"/>
          <w:kern w:val="0"/>
          <w:sz w:val="24"/>
          <w:szCs w:val="24"/>
          <w:highlight w:val="none"/>
        </w:rPr>
        <w:t>竣工资料</w:t>
      </w:r>
      <w:r>
        <w:rPr>
          <w:rFonts w:hint="eastAsia" w:ascii="仿宋_GB2312" w:hAnsi="宋体" w:eastAsia="仿宋_GB2312"/>
          <w:sz w:val="24"/>
          <w:szCs w:val="24"/>
          <w:highlight w:val="none"/>
        </w:rPr>
        <w:t>：过程监督签证单</w:t>
      </w:r>
      <w:r>
        <w:rPr>
          <w:rFonts w:hint="eastAsia" w:ascii="仿宋_GB2312" w:hAnsi="宋体" w:eastAsia="仿宋_GB2312" w:cs="宋体"/>
          <w:kern w:val="0"/>
          <w:sz w:val="24"/>
          <w:szCs w:val="24"/>
          <w:highlight w:val="none"/>
        </w:rPr>
        <w:t>，施工技术措施、组织措施、安全措施一式四份。</w:t>
      </w:r>
    </w:p>
    <w:p>
      <w:pPr>
        <w:pStyle w:val="2"/>
        <w:spacing w:line="240" w:lineRule="auto"/>
        <w:rPr>
          <w:rFonts w:hint="eastAsia" w:ascii="仿宋_GB2312" w:hAnsi="楷体" w:eastAsia="仿宋_GB2312"/>
          <w:szCs w:val="24"/>
          <w:highlight w:val="none"/>
        </w:rPr>
      </w:pPr>
      <w:bookmarkStart w:id="5" w:name="_Toc10433"/>
      <w:r>
        <w:rPr>
          <w:rFonts w:hint="eastAsia" w:ascii="仿宋_GB2312" w:hAnsi="楷体" w:eastAsia="仿宋_GB2312"/>
          <w:szCs w:val="24"/>
          <w:highlight w:val="none"/>
        </w:rPr>
        <w:t>工程条款</w:t>
      </w:r>
      <w:bookmarkEnd w:id="5"/>
    </w:p>
    <w:p>
      <w:pPr>
        <w:numPr>
          <w:ilvl w:val="0"/>
          <w:numId w:val="10"/>
        </w:numPr>
        <w:jc w:val="left"/>
        <w:rPr>
          <w:rFonts w:hint="eastAsia" w:ascii="仿宋_GB2312" w:hAnsi="宋体" w:eastAsia="仿宋_GB2312"/>
          <w:sz w:val="24"/>
          <w:highlight w:val="none"/>
        </w:rPr>
      </w:pPr>
      <w:r>
        <w:rPr>
          <w:rFonts w:hint="eastAsia" w:ascii="仿宋_GB2312" w:hAnsi="宋体" w:eastAsia="仿宋_GB2312"/>
          <w:sz w:val="24"/>
          <w:highlight w:val="none"/>
        </w:rPr>
        <w:t>招标方的责任与义务</w:t>
      </w:r>
    </w:p>
    <w:p>
      <w:pPr>
        <w:rPr>
          <w:rFonts w:hint="eastAsia" w:ascii="仿宋_GB2312" w:hAnsi="宋体" w:eastAsia="仿宋_GB2312"/>
          <w:spacing w:val="-4"/>
          <w:sz w:val="24"/>
          <w:szCs w:val="24"/>
        </w:rPr>
      </w:pPr>
      <w:r>
        <w:rPr>
          <w:rFonts w:hint="eastAsia" w:ascii="仿宋_GB2312" w:hAnsi="宋体" w:eastAsia="仿宋_GB2312"/>
          <w:spacing w:val="-4"/>
          <w:sz w:val="24"/>
          <w:szCs w:val="24"/>
          <w:highlight w:val="none"/>
        </w:rPr>
        <w:t>1.1 招标方负责提供投标方施工所需电源接入点，电源容量满足投</w:t>
      </w:r>
      <w:bookmarkEnd w:id="93"/>
      <w:r>
        <w:rPr>
          <w:rFonts w:hint="eastAsia" w:ascii="仿宋_GB2312" w:hAnsi="宋体" w:eastAsia="仿宋_GB2312"/>
          <w:spacing w:val="-4"/>
          <w:sz w:val="24"/>
          <w:szCs w:val="24"/>
        </w:rPr>
        <w:t>标方要求。</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1.2 招标方协助投标方对重型施工机械进行装卸车工作，并提供暂时存放保管场地。</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1.3 招标方为投标方提供施工期间设备和材料的临时堆放点。</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1.4 招标方向投标方提供需防腐处理的设备图纸。</w:t>
      </w:r>
    </w:p>
    <w:p>
      <w:pPr>
        <w:numPr>
          <w:ilvl w:val="0"/>
          <w:numId w:val="10"/>
        </w:numPr>
        <w:jc w:val="left"/>
        <w:rPr>
          <w:rFonts w:hint="eastAsia" w:ascii="仿宋_GB2312" w:hAnsi="宋体" w:eastAsia="仿宋_GB2312"/>
          <w:sz w:val="24"/>
        </w:rPr>
      </w:pPr>
      <w:r>
        <w:rPr>
          <w:rFonts w:hint="eastAsia" w:ascii="仿宋_GB2312" w:hAnsi="宋体" w:eastAsia="仿宋_GB2312"/>
          <w:sz w:val="24"/>
        </w:rPr>
        <w:t>投标方的责任与义务</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2.1 投标方对防腐所需脚手架搭设、吊篮制作及安装</w:t>
      </w:r>
      <w:r>
        <w:rPr>
          <w:rFonts w:hint="eastAsia" w:ascii="仿宋_GB2312" w:hAnsi="宋体" w:eastAsia="仿宋_GB2312"/>
          <w:spacing w:val="-4"/>
          <w:sz w:val="24"/>
          <w:szCs w:val="24"/>
          <w:lang w:eastAsia="zh-CN"/>
        </w:rPr>
        <w:t>等其他</w:t>
      </w:r>
      <w:r>
        <w:rPr>
          <w:rFonts w:hint="eastAsia" w:ascii="仿宋_GB2312" w:hAnsi="宋体" w:eastAsia="仿宋_GB2312"/>
          <w:spacing w:val="-4"/>
          <w:sz w:val="24"/>
          <w:szCs w:val="24"/>
        </w:rPr>
        <w:t>临时安全措施的准备工作负责。</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2.2 电源接入点以后的电源连接线由投标方负责。</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2.3 设备防腐使用的一切材料购置及运输费用由投标方自行承担。其中涉及脚手架材料（管架、扣件）、成品吊篮等必须提供相应产品质量合格证明，并由有资质单位进行搭设、安装，使用前必须检查、校验并有记录。</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2.4 现场施工时间，招标方可提前一月预告，具体时间由招标方提前一星期通知投标方，投标方应在招标方通知规定时间内抵达四川泸州川南发电有限责任公司生产现场，按招标方同意的施工进度计划要求完成防腐工作。</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2.5 投标方按招标方通知书要求派工程技术人员来四川泸州川南发电有限责任公司生产现场，按招标方同意的施工进度计划及施工工艺质量标准进行施工，防腐质量由招标方和投标方共同按照技术标准及质量标准检查验收认可。</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2.6 投标方在正式施工前应编制施工方案和施工安全技术措施（对危险性作业项目应编制专项安全技术措施，如：邻近高压带电体、锅炉高处钢梁、酸碱罐、受限空间、易燃易爆场所等防腐施工，一式四份），经招标方审核后方可实施。</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2.7 投标方对招标方提供3年的免费保修，其间投标方应每年至少派一次技术人员到四川泸州川南发电有限责任公司生产现场对涂层质量做例行的全面检查。</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2.8 在3年质保期内，招标方若发现涂膜有质量问题通知投标方时，投标方应及时派有关技术人员到招标方生产现场，对涂膜进行免费处理。</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2.9 在3年质保期内，投标方对招标方锅炉防腐涂膜的例行检查中，涂膜厚度检测点由招标方选定，若检查发现涂膜厚度有不符合技术标准要求的部位，投标方应</w:t>
      </w:r>
      <w:r>
        <w:rPr>
          <w:rFonts w:hint="eastAsia" w:ascii="仿宋_GB2312" w:hAnsi="宋体" w:eastAsia="仿宋_GB2312"/>
          <w:spacing w:val="-4"/>
          <w:sz w:val="24"/>
          <w:szCs w:val="24"/>
          <w:lang w:eastAsia="zh-CN"/>
        </w:rPr>
        <w:t>及时</w:t>
      </w:r>
      <w:r>
        <w:rPr>
          <w:rFonts w:hint="eastAsia" w:ascii="仿宋_GB2312" w:hAnsi="宋体" w:eastAsia="仿宋_GB2312"/>
          <w:spacing w:val="-4"/>
          <w:sz w:val="24"/>
          <w:szCs w:val="24"/>
        </w:rPr>
        <w:t>进行补充的免费刷涂。</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2.10 涂层质量检查用涂层厚度检测仪、5倍放大镜由投标方提供 。</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2.11 投标方</w:t>
      </w:r>
      <w:r>
        <w:rPr>
          <w:rFonts w:hint="eastAsia" w:ascii="仿宋_GB2312" w:hAnsi="宋体" w:eastAsia="仿宋_GB2312"/>
          <w:spacing w:val="-4"/>
          <w:sz w:val="24"/>
          <w:szCs w:val="24"/>
          <w:lang w:val="en-US" w:eastAsia="zh-CN"/>
        </w:rPr>
        <w:t>的</w:t>
      </w:r>
      <w:r>
        <w:rPr>
          <w:rFonts w:hint="eastAsia" w:ascii="仿宋_GB2312" w:hAnsi="宋体" w:eastAsia="仿宋_GB2312"/>
          <w:spacing w:val="-4"/>
          <w:sz w:val="24"/>
          <w:szCs w:val="24"/>
        </w:rPr>
        <w:t>生产现场施工技术人员食宿自理；同时，投标方因安全管理不到位等自身原因造成人身伤亡事故，其事故责任及事故后果由投标方承担。</w:t>
      </w:r>
    </w:p>
    <w:p>
      <w:pPr>
        <w:rPr>
          <w:rFonts w:hint="eastAsia" w:ascii="仿宋_GB2312" w:hAnsi="宋体" w:eastAsia="仿宋_GB2312"/>
          <w:spacing w:val="-4"/>
          <w:sz w:val="24"/>
          <w:szCs w:val="24"/>
        </w:rPr>
      </w:pPr>
      <w:r>
        <w:rPr>
          <w:rFonts w:hint="eastAsia" w:ascii="仿宋_GB2312" w:hAnsi="宋体" w:eastAsia="仿宋_GB2312"/>
          <w:spacing w:val="-4"/>
          <w:sz w:val="24"/>
          <w:szCs w:val="24"/>
        </w:rPr>
        <w:t>2.12 投标方施工设备及施工材料、工器具应自行管理，因不可预测的原因造成丢失，招标方不负有赔偿的责任，若有关主要设备或材料丢失造成对施工进度有影响时，投标方应及时补充设备和材料运至生产现场，继续完成施工任务，以保证工程急需和工程进度需求，招标方可协助投标方清查丢失原因，查找丢失设备或材料。</w:t>
      </w:r>
    </w:p>
    <w:p>
      <w:pPr>
        <w:rPr>
          <w:rFonts w:hint="eastAsia" w:ascii="仿宋_GB2312" w:hAnsi="宋体" w:eastAsia="仿宋_GB2312"/>
          <w:sz w:val="24"/>
          <w:szCs w:val="24"/>
        </w:rPr>
      </w:pPr>
      <w:r>
        <w:rPr>
          <w:rFonts w:hint="eastAsia" w:ascii="仿宋_GB2312" w:hAnsi="宋体" w:eastAsia="仿宋_GB2312"/>
          <w:spacing w:val="-4"/>
          <w:sz w:val="24"/>
          <w:szCs w:val="24"/>
        </w:rPr>
        <w:t>2.13 投标方负责在招标方大修期间（涂层使用期内）派技术人员到现场对涂层质量进行检查</w:t>
      </w:r>
      <w:r>
        <w:rPr>
          <w:rFonts w:hint="eastAsia" w:ascii="仿宋_GB2312" w:hAnsi="宋体" w:eastAsia="仿宋_GB2312"/>
          <w:spacing w:val="-4"/>
        </w:rPr>
        <w:t>。</w:t>
      </w:r>
    </w:p>
    <w:p>
      <w:pPr>
        <w:pStyle w:val="2"/>
        <w:spacing w:line="240" w:lineRule="auto"/>
        <w:rPr>
          <w:rFonts w:hint="eastAsia" w:ascii="仿宋_GB2312" w:hAnsi="楷体" w:eastAsia="仿宋_GB2312"/>
          <w:szCs w:val="24"/>
        </w:rPr>
      </w:pPr>
      <w:bookmarkStart w:id="6" w:name="_Toc32718"/>
      <w:r>
        <w:rPr>
          <w:rFonts w:hint="eastAsia" w:ascii="仿宋_GB2312" w:hAnsi="楷体" w:eastAsia="仿宋_GB2312"/>
          <w:szCs w:val="24"/>
        </w:rPr>
        <w:t>组织机构及施工体系</w:t>
      </w:r>
      <w:bookmarkEnd w:id="6"/>
    </w:p>
    <w:p>
      <w:pPr>
        <w:numPr>
          <w:ilvl w:val="0"/>
          <w:numId w:val="11"/>
        </w:numPr>
        <w:jc w:val="left"/>
        <w:rPr>
          <w:rFonts w:hint="eastAsia" w:ascii="仿宋_GB2312" w:hAnsi="宋体" w:eastAsia="仿宋_GB2312"/>
          <w:sz w:val="24"/>
        </w:rPr>
      </w:pPr>
      <w:r>
        <w:rPr>
          <w:rFonts w:hint="eastAsia" w:ascii="仿宋_GB2312" w:hAnsi="宋体" w:eastAsia="仿宋_GB2312"/>
          <w:sz w:val="24"/>
        </w:rPr>
        <w:t>投标方组织机构</w:t>
      </w:r>
    </w:p>
    <w:p>
      <w:pPr>
        <w:rPr>
          <w:rFonts w:ascii="Calibri" w:hAnsi="Calibri"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.1投标方应建立健全管理机构，按项目经理责任制进行安全生产管理。配备各级行政人员，加强安全管理和安全教育，增强安全意识、服务意识、质量意识，防止发生人身伤害和设备损坏事故。组织机构如下：</w:t>
      </w:r>
    </w:p>
    <w:p>
      <w:pPr>
        <w:rPr>
          <w:rFonts w:ascii="Calibri" w:hAnsi="Calibri" w:eastAsia="仿宋_GB2312" w:cs="Arial"/>
          <w:sz w:val="24"/>
          <w:szCs w:val="24"/>
        </w:rPr>
      </w:pPr>
    </w:p>
    <w:p>
      <w:pPr>
        <w:jc w:val="center"/>
        <w:rPr>
          <w:rFonts w:hint="eastAsia" w:ascii="仿宋_GB2312" w:hAnsi="宋体" w:eastAsia="仿宋_GB2312"/>
          <w:sz w:val="24"/>
          <w:szCs w:val="24"/>
        </w:rPr>
      </w:pPr>
      <w:r>
        <w:drawing>
          <wp:anchor distT="0" distB="0" distL="114300" distR="114300" simplePos="0" relativeHeight="251659264" behindDoc="0" locked="0" layoutInCell="1" allowOverlap="1">
            <wp:simplePos x="0" y="0"/>
            <wp:positionH relativeFrom="column">
              <wp:posOffset>1190625</wp:posOffset>
            </wp:positionH>
            <wp:positionV relativeFrom="paragraph">
              <wp:posOffset>209550</wp:posOffset>
            </wp:positionV>
            <wp:extent cx="2686050" cy="1485900"/>
            <wp:effectExtent l="0" t="0" r="0" b="0"/>
            <wp:wrapTopAndBottom/>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pic:cNvPicPr>
                  </pic:nvPicPr>
                  <pic:blipFill>
                    <a:blip r:embed="rId12">
                      <a:lum bright="-29999" contrast="100000"/>
                    </a:blip>
                    <a:stretch>
                      <a:fillRect/>
                    </a:stretch>
                  </pic:blipFill>
                  <pic:spPr>
                    <a:xfrm>
                      <a:off x="0" y="0"/>
                      <a:ext cx="2686050" cy="1485900"/>
                    </a:xfrm>
                    <a:prstGeom prst="rect">
                      <a:avLst/>
                    </a:prstGeom>
                    <a:noFill/>
                    <a:ln>
                      <a:noFill/>
                    </a:ln>
                  </pic:spPr>
                </pic:pic>
              </a:graphicData>
            </a:graphic>
          </wp:anchor>
        </w:drawing>
      </w:r>
    </w:p>
    <w:p>
      <w:pPr>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.2 投标方在现场设立</w:t>
      </w:r>
      <w:r>
        <w:rPr>
          <w:rFonts w:hint="eastAsia" w:ascii="仿宋_GB2312" w:hAnsi="宋体" w:eastAsia="仿宋_GB2312" w:cs="宋体"/>
          <w:sz w:val="24"/>
          <w:szCs w:val="24"/>
        </w:rPr>
        <w:t>本标段</w:t>
      </w:r>
      <w:r>
        <w:rPr>
          <w:rFonts w:hint="eastAsia" w:ascii="仿宋_GB2312" w:hAnsi="宋体" w:eastAsia="仿宋_GB2312"/>
          <w:sz w:val="24"/>
          <w:szCs w:val="24"/>
        </w:rPr>
        <w:t>项目经理部。施工主要人员按照施工组织设计和实际需要统一从公司组织、调遣。</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.3 项目经理部组织机构设置</w:t>
      </w:r>
    </w:p>
    <w:p>
      <w:pPr>
        <w:keepNext w:val="0"/>
        <w:keepLines w:val="0"/>
        <w:widowControl/>
        <w:suppressLineNumbers w:val="0"/>
        <w:jc w:val="left"/>
        <w:rPr>
          <w:rFonts w:hint="eastAsia" w:ascii="仿宋_GB2312" w:hAnsi="宋体" w:eastAsia="仿宋_GB2312"/>
          <w:b/>
          <w:bCs/>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.3.1 项目经理部人员配置必须满足防腐任务需要，作业人员超过20人时应配备</w:t>
      </w:r>
      <w:r>
        <w:rPr>
          <w:rFonts w:hint="eastAsia" w:ascii="仿宋_GB2312" w:hAnsi="宋体" w:eastAsia="仿宋_GB2312"/>
          <w:b w:val="0"/>
          <w:bCs w:val="0"/>
          <w:color w:val="auto"/>
          <w:sz w:val="24"/>
          <w:szCs w:val="24"/>
        </w:rPr>
        <w:t>：项目经理1人，专责质量工程师1人，专职安全兼培训工程师（安全员）1人。未超过20人时，应配备项目经理1人，专责质量工程师兼安全工程师（安全员）1人。</w:t>
      </w:r>
      <w:r>
        <w:rPr>
          <w:rFonts w:hint="eastAsia" w:ascii="仿宋_GB2312" w:hAnsi="宋体" w:eastAsia="仿宋_GB2312"/>
          <w:b w:val="0"/>
          <w:bCs w:val="0"/>
          <w:color w:val="auto"/>
          <w:sz w:val="24"/>
          <w:szCs w:val="24"/>
          <w:lang w:val="en-US" w:eastAsia="zh-CN"/>
        </w:rPr>
        <w:t>安全管理人员必须具有相应资质和能力，持证上岗。</w:t>
      </w:r>
    </w:p>
    <w:p>
      <w:pPr>
        <w:rPr>
          <w:rFonts w:hint="eastAsia" w:ascii="仿宋_GB2312" w:hAnsi="宋体" w:eastAsia="仿宋_GB2312"/>
          <w:sz w:val="24"/>
          <w:szCs w:val="24"/>
        </w:rPr>
      </w:pPr>
    </w:p>
    <w:p>
      <w:pPr>
        <w:rPr>
          <w:rFonts w:hint="eastAsia" w:ascii="仿宋_GB2312" w:hAnsi="宋体" w:eastAsia="仿宋_GB2312"/>
          <w:b/>
          <w:bCs/>
          <w:color w:val="auto"/>
          <w:sz w:val="24"/>
          <w:szCs w:val="24"/>
        </w:rPr>
      </w:pPr>
      <w:r>
        <w:rPr>
          <w:rFonts w:hint="eastAsia" w:ascii="仿宋_GB2312" w:hAnsi="宋体" w:eastAsia="仿宋_GB2312"/>
          <w:b/>
          <w:bCs/>
          <w:color w:val="auto"/>
          <w:sz w:val="24"/>
          <w:szCs w:val="24"/>
        </w:rPr>
        <w:t>注：项目经理及专职（兼职）安全工程师（安全员）须具有安全管理资质。</w:t>
      </w:r>
    </w:p>
    <w:p>
      <w:pPr>
        <w:snapToGrid w:val="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.3.2 施工人员岗位定员、岗位主要职责如下表：</w:t>
      </w:r>
    </w:p>
    <w:tbl>
      <w:tblPr>
        <w:tblStyle w:val="10"/>
        <w:tblW w:w="0" w:type="auto"/>
        <w:jc w:val="center"/>
        <w:tblLayout w:type="fixed"/>
        <w:tblCellMar>
          <w:top w:w="0" w:type="dxa"/>
          <w:left w:w="108" w:type="dxa"/>
          <w:bottom w:w="0" w:type="dxa"/>
          <w:right w:w="108" w:type="dxa"/>
        </w:tblCellMar>
      </w:tblPr>
      <w:tblGrid>
        <w:gridCol w:w="1758"/>
        <w:gridCol w:w="851"/>
        <w:gridCol w:w="4817"/>
        <w:gridCol w:w="710"/>
      </w:tblGrid>
      <w:tr>
        <w:tblPrEx>
          <w:tblCellMar>
            <w:top w:w="0" w:type="dxa"/>
            <w:left w:w="108" w:type="dxa"/>
            <w:bottom w:w="0" w:type="dxa"/>
            <w:right w:w="108" w:type="dxa"/>
          </w:tblCellMar>
        </w:tblPrEx>
        <w:trPr>
          <w:cantSplit/>
          <w:jc w:val="center"/>
        </w:trPr>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岗位名称</w:t>
            </w:r>
          </w:p>
        </w:tc>
        <w:tc>
          <w:tcPr>
            <w:tcW w:w="8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定员</w:t>
            </w:r>
          </w:p>
        </w:tc>
        <w:tc>
          <w:tcPr>
            <w:tcW w:w="4817" w:type="dxa"/>
            <w:tcBorders>
              <w:top w:val="single" w:color="auto" w:sz="4" w:space="0"/>
              <w:left w:val="nil"/>
              <w:bottom w:val="single" w:color="auto" w:sz="4" w:space="0"/>
              <w:right w:val="single" w:color="auto" w:sz="4" w:space="0"/>
            </w:tcBorders>
            <w:noWrap w:val="0"/>
            <w:vAlign w:val="top"/>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岗位主要职责</w:t>
            </w:r>
          </w:p>
        </w:tc>
        <w:tc>
          <w:tcPr>
            <w:tcW w:w="71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用工种类</w:t>
            </w:r>
          </w:p>
        </w:tc>
      </w:tr>
      <w:tr>
        <w:tblPrEx>
          <w:tblCellMar>
            <w:top w:w="0" w:type="dxa"/>
            <w:left w:w="108" w:type="dxa"/>
            <w:bottom w:w="0" w:type="dxa"/>
            <w:right w:w="108" w:type="dxa"/>
          </w:tblCellMar>
        </w:tblPrEx>
        <w:trPr>
          <w:cantSplit/>
          <w:jc w:val="center"/>
        </w:trPr>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防腐项目部经理</w:t>
            </w:r>
          </w:p>
        </w:tc>
        <w:tc>
          <w:tcPr>
            <w:tcW w:w="8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1</w:t>
            </w:r>
          </w:p>
        </w:tc>
        <w:tc>
          <w:tcPr>
            <w:tcW w:w="4817"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宋体" w:eastAsia="仿宋_GB2312" w:cs="Arial"/>
                <w:sz w:val="24"/>
                <w:szCs w:val="24"/>
              </w:rPr>
            </w:pPr>
            <w:r>
              <w:rPr>
                <w:rFonts w:hint="eastAsia" w:ascii="仿宋_GB2312" w:hAnsi="宋体" w:eastAsia="仿宋_GB2312" w:cs="Arial"/>
                <w:sz w:val="24"/>
                <w:szCs w:val="24"/>
              </w:rPr>
              <w:t>全面负责项目部的日常管理工作，所辖范围防腐施工和安全管理工作；是检修项目部的安全第一负责人。</w:t>
            </w:r>
          </w:p>
        </w:tc>
        <w:tc>
          <w:tcPr>
            <w:tcW w:w="71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工程师</w:t>
            </w:r>
          </w:p>
        </w:tc>
      </w:tr>
      <w:tr>
        <w:tblPrEx>
          <w:tblCellMar>
            <w:top w:w="0" w:type="dxa"/>
            <w:left w:w="108" w:type="dxa"/>
            <w:bottom w:w="0" w:type="dxa"/>
            <w:right w:w="108" w:type="dxa"/>
          </w:tblCellMar>
        </w:tblPrEx>
        <w:trPr>
          <w:cantSplit/>
          <w:jc w:val="center"/>
        </w:trPr>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专（兼）职安全工程师（安全员）</w:t>
            </w:r>
          </w:p>
        </w:tc>
        <w:tc>
          <w:tcPr>
            <w:tcW w:w="8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1</w:t>
            </w:r>
          </w:p>
        </w:tc>
        <w:tc>
          <w:tcPr>
            <w:tcW w:w="4817"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宋体" w:eastAsia="仿宋_GB2312" w:cs="Arial"/>
                <w:sz w:val="24"/>
                <w:szCs w:val="24"/>
              </w:rPr>
            </w:pPr>
            <w:r>
              <w:rPr>
                <w:rFonts w:hint="eastAsia" w:ascii="仿宋_GB2312" w:hAnsi="宋体" w:eastAsia="仿宋_GB2312" w:cs="Arial"/>
                <w:sz w:val="24"/>
                <w:szCs w:val="24"/>
              </w:rPr>
              <w:t>1.抓好现场安全管理，监督并落实专项安全措施，制止违章行为，参与招标方现场安全检查及各类安全活动。</w:t>
            </w:r>
          </w:p>
          <w:p>
            <w:pPr>
              <w:jc w:val="left"/>
              <w:rPr>
                <w:rFonts w:hint="eastAsia" w:ascii="仿宋_GB2312" w:hAnsi="宋体" w:eastAsia="仿宋_GB2312" w:cs="Arial"/>
                <w:sz w:val="24"/>
                <w:szCs w:val="24"/>
              </w:rPr>
            </w:pPr>
            <w:r>
              <w:rPr>
                <w:rFonts w:hint="eastAsia" w:ascii="仿宋_GB2312" w:hAnsi="宋体" w:eastAsia="仿宋_GB2312" w:cs="Arial"/>
                <w:sz w:val="24"/>
                <w:szCs w:val="24"/>
              </w:rPr>
              <w:t>2.组织开展作业前风险辨识，负责抓好员工日常安全教育，开展相应技术培训教育，并负责对现场安全情况进行监督、检查、考核，负责项目部安全工器具的管</w:t>
            </w:r>
            <w:r>
              <w:rPr>
                <w:rFonts w:hint="eastAsia" w:ascii="仿宋_GB2312" w:hAnsi="宋体" w:eastAsia="仿宋_GB2312" w:cs="Arial"/>
                <w:sz w:val="24"/>
                <w:szCs w:val="24"/>
                <w:lang w:eastAsia="zh-CN"/>
              </w:rPr>
              <w:t>理和</w:t>
            </w:r>
            <w:r>
              <w:rPr>
                <w:rFonts w:hint="eastAsia" w:ascii="仿宋_GB2312" w:hAnsi="宋体" w:eastAsia="仿宋_GB2312" w:cs="Arial"/>
                <w:sz w:val="24"/>
                <w:szCs w:val="24"/>
              </w:rPr>
              <w:t>安全管理。</w:t>
            </w:r>
          </w:p>
          <w:p>
            <w:pPr>
              <w:jc w:val="left"/>
              <w:rPr>
                <w:rFonts w:hint="eastAsia" w:ascii="仿宋_GB2312" w:hAnsi="宋体" w:eastAsia="仿宋_GB2312" w:cs="Arial"/>
                <w:sz w:val="24"/>
                <w:szCs w:val="24"/>
              </w:rPr>
            </w:pPr>
            <w:r>
              <w:rPr>
                <w:rFonts w:hint="eastAsia" w:ascii="仿宋_GB2312" w:hAnsi="宋体" w:eastAsia="仿宋_GB2312" w:cs="Arial"/>
                <w:sz w:val="24"/>
                <w:szCs w:val="24"/>
              </w:rPr>
              <w:t>3.抓好项目部自身安全文明施工、职业健康管理及环境保护管理。</w:t>
            </w:r>
          </w:p>
        </w:tc>
        <w:tc>
          <w:tcPr>
            <w:tcW w:w="71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Arial"/>
                <w:sz w:val="24"/>
                <w:szCs w:val="24"/>
              </w:rPr>
            </w:pPr>
            <w:r>
              <w:rPr>
                <w:rFonts w:hint="eastAsia" w:ascii="仿宋_GB2312" w:hAnsi="宋体" w:eastAsia="仿宋_GB2312" w:cs="Arial"/>
                <w:sz w:val="24"/>
                <w:szCs w:val="24"/>
              </w:rPr>
              <w:t>工程师</w:t>
            </w:r>
          </w:p>
        </w:tc>
      </w:tr>
    </w:tbl>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.3.3 劳动力投入计划</w:t>
      </w:r>
    </w:p>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rPr>
        <w:t>低峰：</w:t>
      </w:r>
      <w:r>
        <w:rPr>
          <w:rFonts w:hint="eastAsia" w:ascii="仿宋_GB2312" w:hAnsi="宋体" w:eastAsia="仿宋_GB2312" w:cs="Arial"/>
          <w:sz w:val="24"/>
          <w:szCs w:val="24"/>
          <w:u w:val="single"/>
        </w:rPr>
        <w:t xml:space="preserve">     </w:t>
      </w:r>
      <w:r>
        <w:rPr>
          <w:rFonts w:hint="eastAsia" w:ascii="仿宋_GB2312" w:hAnsi="宋体" w:eastAsia="仿宋_GB2312" w:cs="Arial"/>
          <w:sz w:val="24"/>
          <w:szCs w:val="24"/>
        </w:rPr>
        <w:t>人；</w:t>
      </w:r>
    </w:p>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rPr>
        <w:t>平峰：</w:t>
      </w:r>
      <w:r>
        <w:rPr>
          <w:rFonts w:hint="eastAsia" w:ascii="仿宋_GB2312" w:hAnsi="宋体" w:eastAsia="仿宋_GB2312" w:cs="Arial"/>
          <w:sz w:val="24"/>
          <w:szCs w:val="24"/>
          <w:u w:val="single"/>
        </w:rPr>
        <w:t xml:space="preserve">     </w:t>
      </w:r>
      <w:r>
        <w:rPr>
          <w:rFonts w:hint="eastAsia" w:ascii="仿宋_GB2312" w:hAnsi="宋体" w:eastAsia="仿宋_GB2312" w:cs="Arial"/>
          <w:sz w:val="24"/>
          <w:szCs w:val="24"/>
        </w:rPr>
        <w:t>人；</w:t>
      </w:r>
    </w:p>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rPr>
        <w:t>高峰：</w:t>
      </w:r>
      <w:r>
        <w:rPr>
          <w:rFonts w:hint="eastAsia" w:ascii="仿宋_GB2312" w:hAnsi="宋体" w:eastAsia="仿宋_GB2312" w:cs="Arial"/>
          <w:sz w:val="24"/>
          <w:szCs w:val="24"/>
          <w:u w:val="single"/>
        </w:rPr>
        <w:t xml:space="preserve">     </w:t>
      </w:r>
      <w:r>
        <w:rPr>
          <w:rFonts w:hint="eastAsia" w:ascii="仿宋_GB2312" w:hAnsi="宋体" w:eastAsia="仿宋_GB2312" w:cs="Arial"/>
          <w:sz w:val="24"/>
          <w:szCs w:val="24"/>
        </w:rPr>
        <w:t>人。</w:t>
      </w:r>
    </w:p>
    <w:p>
      <w:pPr>
        <w:rPr>
          <w:rFonts w:hint="eastAsia" w:ascii="仿宋_GB2312" w:hAnsi="宋体" w:eastAsia="仿宋_GB2312" w:cs="宋体"/>
          <w:sz w:val="24"/>
          <w:szCs w:val="24"/>
        </w:rPr>
      </w:pPr>
      <w:r>
        <w:rPr>
          <w:rFonts w:hint="eastAsia" w:ascii="仿宋_GB2312" w:hAnsi="宋体" w:eastAsia="仿宋_GB2312" w:cs="宋体"/>
          <w:sz w:val="24"/>
          <w:szCs w:val="24"/>
        </w:rPr>
        <w:t>注：投标方人力投入按照施工进度要求，随时调增，以满足施工进度。</w:t>
      </w:r>
    </w:p>
    <w:p>
      <w:pPr>
        <w:rPr>
          <w:rFonts w:hint="eastAsia" w:ascii="仿宋_GB2312" w:hAnsi="宋体" w:eastAsia="仿宋_GB2312" w:cs="宋体"/>
          <w:sz w:val="24"/>
          <w:szCs w:val="24"/>
        </w:rPr>
      </w:pPr>
      <w:r>
        <w:rPr>
          <w:rFonts w:hint="eastAsia" w:ascii="仿宋_GB2312" w:hAnsi="宋体" w:eastAsia="仿宋_GB2312" w:cs="宋体"/>
          <w:sz w:val="24"/>
          <w:szCs w:val="24"/>
          <w:lang w:val="en-US" w:eastAsia="zh-CN"/>
        </w:rPr>
        <w:t>1</w:t>
      </w:r>
      <w:r>
        <w:rPr>
          <w:rFonts w:hint="eastAsia" w:ascii="仿宋_GB2312" w:hAnsi="宋体" w:eastAsia="仿宋_GB2312" w:cs="宋体"/>
          <w:sz w:val="24"/>
          <w:szCs w:val="24"/>
        </w:rPr>
        <w:t>.3.4  项目部人员及素质</w:t>
      </w:r>
    </w:p>
    <w:p>
      <w:pPr>
        <w:snapToGrid w:val="0"/>
        <w:ind w:right="-110"/>
        <w:rPr>
          <w:rFonts w:hint="eastAsia" w:ascii="仿宋_GB2312" w:hAnsi="宋体" w:eastAsia="仿宋_GB2312" w:cs="Arial"/>
          <w:color w:val="FF0000"/>
          <w:sz w:val="24"/>
          <w:szCs w:val="24"/>
        </w:rPr>
      </w:pPr>
      <w:r>
        <w:rPr>
          <w:rFonts w:hint="eastAsia" w:ascii="仿宋_GB2312" w:hAnsi="宋体" w:eastAsia="仿宋_GB2312" w:cs="Arial"/>
          <w:color w:val="FF0000"/>
          <w:sz w:val="24"/>
          <w:szCs w:val="24"/>
          <w:lang w:val="en-US" w:eastAsia="zh-CN"/>
        </w:rPr>
        <w:t xml:space="preserve">1.3.4.1 </w:t>
      </w:r>
      <w:r>
        <w:rPr>
          <w:rFonts w:hint="eastAsia" w:ascii="仿宋_GB2312" w:hAnsi="宋体" w:eastAsia="仿宋_GB2312" w:cs="Arial"/>
          <w:color w:val="FF0000"/>
          <w:sz w:val="24"/>
          <w:szCs w:val="24"/>
        </w:rPr>
        <w:t>投标方</w:t>
      </w:r>
      <w:r>
        <w:rPr>
          <w:rFonts w:hint="eastAsia" w:ascii="仿宋_GB2312" w:hAnsi="宋体" w:eastAsia="仿宋_GB2312" w:cs="Arial"/>
          <w:color w:val="FF0000"/>
          <w:sz w:val="24"/>
          <w:szCs w:val="24"/>
          <w:lang w:val="en-US" w:eastAsia="zh-CN"/>
        </w:rPr>
        <w:t>提供的作业人员应为具有一定的专业技术且取得相应上岗证的熟练工人。特种作业人员必须提供满足应急管理局要求的证书，并提供应急管理局网站查阅的证书资料，特种设备操作人员应提供市场监督管理局查阅的证书资料。</w:t>
      </w:r>
    </w:p>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.3.4.</w:t>
      </w:r>
      <w:r>
        <w:rPr>
          <w:rFonts w:hint="eastAsia" w:ascii="仿宋_GB2312" w:hAnsi="宋体" w:eastAsia="仿宋_GB2312" w:cs="Arial"/>
          <w:sz w:val="24"/>
          <w:szCs w:val="24"/>
          <w:lang w:val="en-US" w:eastAsia="zh-CN"/>
        </w:rPr>
        <w:t>2</w:t>
      </w:r>
      <w:r>
        <w:rPr>
          <w:rFonts w:hint="eastAsia" w:ascii="仿宋_GB2312" w:hAnsi="宋体" w:eastAsia="仿宋_GB2312" w:cs="Arial"/>
          <w:sz w:val="24"/>
          <w:szCs w:val="24"/>
        </w:rPr>
        <w:t xml:space="preserve"> 项目经理有丰富的电厂生产管理经验。</w:t>
      </w:r>
    </w:p>
    <w:p>
      <w:pPr>
        <w:snapToGrid w:val="0"/>
        <w:ind w:right="-11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.3.4.</w:t>
      </w:r>
      <w:r>
        <w:rPr>
          <w:rFonts w:hint="eastAsia" w:ascii="仿宋_GB2312" w:hAnsi="宋体" w:eastAsia="仿宋_GB2312" w:cs="Arial"/>
          <w:sz w:val="24"/>
          <w:szCs w:val="24"/>
          <w:lang w:val="en-US" w:eastAsia="zh-CN"/>
        </w:rPr>
        <w:t>3</w:t>
      </w:r>
      <w:r>
        <w:rPr>
          <w:rFonts w:hint="eastAsia" w:ascii="仿宋_GB2312" w:hAnsi="宋体" w:eastAsia="仿宋_GB2312" w:cs="Arial"/>
          <w:sz w:val="24"/>
          <w:szCs w:val="24"/>
        </w:rPr>
        <w:t xml:space="preserve"> 项目经理和专（兼）职安全工程师（安全员）必须坚守现场，不经招标方允许不得私自离开现场。</w:t>
      </w:r>
    </w:p>
    <w:p>
      <w:pPr>
        <w:snapToGrid w:val="0"/>
        <w:ind w:right="-110"/>
        <w:rPr>
          <w:rFonts w:hint="default" w:ascii="仿宋_GB2312" w:hAnsi="宋体" w:eastAsia="仿宋_GB2312" w:cs="Arial"/>
          <w:color w:val="FF0000"/>
          <w:sz w:val="24"/>
          <w:szCs w:val="24"/>
          <w:lang w:val="en-US"/>
        </w:rPr>
      </w:pPr>
      <w:r>
        <w:rPr>
          <w:rFonts w:hint="eastAsia" w:ascii="仿宋_GB2312" w:hAnsi="宋体" w:eastAsia="仿宋_GB2312" w:cs="Arial"/>
          <w:color w:val="FF0000"/>
          <w:sz w:val="24"/>
          <w:szCs w:val="24"/>
          <w:lang w:val="en-US" w:eastAsia="zh-CN"/>
        </w:rPr>
        <w:t>1</w:t>
      </w:r>
      <w:r>
        <w:rPr>
          <w:rFonts w:hint="eastAsia" w:ascii="仿宋_GB2312" w:hAnsi="宋体" w:eastAsia="仿宋_GB2312" w:cs="Arial"/>
          <w:color w:val="FF0000"/>
          <w:sz w:val="24"/>
          <w:szCs w:val="24"/>
        </w:rPr>
        <w:t>.3.4.</w:t>
      </w:r>
      <w:r>
        <w:rPr>
          <w:rFonts w:hint="eastAsia" w:ascii="仿宋_GB2312" w:hAnsi="宋体" w:eastAsia="仿宋_GB2312" w:cs="Arial"/>
          <w:color w:val="FF0000"/>
          <w:sz w:val="24"/>
          <w:szCs w:val="24"/>
          <w:lang w:val="en-US" w:eastAsia="zh-CN"/>
        </w:rPr>
        <w:t>4 投标方应保证作业人员的稳定，施工人员离职率不高于总人数的20%。</w:t>
      </w:r>
    </w:p>
    <w:p>
      <w:pPr>
        <w:numPr>
          <w:ilvl w:val="0"/>
          <w:numId w:val="11"/>
        </w:numPr>
        <w:jc w:val="left"/>
        <w:rPr>
          <w:rFonts w:hint="eastAsia" w:ascii="仿宋_GB2312" w:hAnsi="宋体" w:eastAsia="仿宋_GB2312"/>
          <w:sz w:val="24"/>
        </w:rPr>
      </w:pPr>
      <w:r>
        <w:rPr>
          <w:rFonts w:hint="eastAsia" w:ascii="仿宋_GB2312" w:hAnsi="宋体" w:eastAsia="仿宋_GB2312"/>
          <w:sz w:val="24"/>
        </w:rPr>
        <w:t>投标方施工组织体系</w:t>
      </w:r>
    </w:p>
    <w:p>
      <w:pPr>
        <w:rPr>
          <w:rFonts w:hint="eastAsia" w:ascii="仿宋_GB2312" w:hAnsi="宋体" w:eastAsia="仿宋_GB2312"/>
          <w:spacing w:val="-4"/>
          <w:sz w:val="24"/>
          <w:szCs w:val="24"/>
        </w:rPr>
      </w:pPr>
      <w:r>
        <w:rPr>
          <w:rFonts w:hint="eastAsia" w:ascii="仿宋_GB2312" w:hAnsi="宋体" w:eastAsia="仿宋_GB2312"/>
          <w:spacing w:val="-4"/>
          <w:sz w:val="24"/>
          <w:szCs w:val="24"/>
          <w:lang w:val="en-US" w:eastAsia="zh-CN"/>
        </w:rPr>
        <w:t>2</w:t>
      </w:r>
      <w:r>
        <w:rPr>
          <w:rFonts w:hint="eastAsia" w:ascii="仿宋_GB2312" w:hAnsi="宋体" w:eastAsia="仿宋_GB2312"/>
          <w:spacing w:val="-4"/>
          <w:sz w:val="24"/>
          <w:szCs w:val="24"/>
        </w:rPr>
        <w:t>.1 安全、质量保证体系</w:t>
      </w:r>
    </w:p>
    <w:p>
      <w:pPr>
        <w:ind w:firstLine="464" w:firstLineChars="200"/>
        <w:rPr>
          <w:rFonts w:hint="eastAsia" w:ascii="仿宋_GB2312" w:hAnsi="宋体" w:eastAsia="仿宋_GB2312"/>
          <w:sz w:val="24"/>
          <w:szCs w:val="24"/>
        </w:rPr>
      </w:pPr>
      <w:r>
        <w:rPr>
          <w:rFonts w:hint="eastAsia" w:ascii="仿宋_GB2312" w:hAnsi="宋体" w:eastAsia="仿宋_GB2312"/>
          <w:spacing w:val="-4"/>
          <w:sz w:val="24"/>
          <w:szCs w:val="24"/>
        </w:rPr>
        <w:t>项目经理是整个维护工程项目的第一责任人，对工程质量负直接领导责任。投标方建立、健全安全、质量管理体系，制定防腐目标计划、质量考核办法，严格验收程序，确保质量体系与施工有效、同步运转，确保施工过程整个质量过程得到有效控制。</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 安全职责</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.2.1项目经理</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.2.1.1项目经理是工程项目的安全第一责任人，对项目工程安全负全责。</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.2.1.2依据上级有关规定和招标方指令或要求，针对防腐工程具体情况，组织制定防腐安全、文明标准化防腐实施办法及项目管理体系。</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.2.1.3督促专管人员认真履行职责，贯彻有关制度、规定和办法，并检查其贯彻效果。</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.2.1.4响应招标方各类安全生产活动及安全检查，积极组织参与，并对自身存在的问题认真落实整改，并形成闭环管理。</w:t>
      </w:r>
    </w:p>
    <w:p>
      <w:pPr>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.2.1.5保证项目部安全生产资金投入。</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 专（兼）职安全工程师（安全员）</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2.1 认真贯彻执行国家、行业及招标方相关安全生产的法律、法规、各项规章制度。</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2.2 督促作业人员认真执行各项施工安全技术措施。</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2.3 实行对施工现场全天候巡回检查，及时纠正作业人员违章现象，使安全生产、文明施工、职业健康安全及环境保护始终处于有效受控状态。</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2.4 组织作业人员开展风险预控。依据施工现场作业部位的变化，负责提出动态的、有效的具体安全防范措施。</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2.5 做好施工作业现场各类安全警示，采购合格的劳动防护用品并督促作业人员正确使用。</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.2.</w:t>
      </w:r>
      <w:r>
        <w:rPr>
          <w:rFonts w:hint="eastAsia" w:ascii="仿宋_GB2312" w:hAnsi="宋体" w:eastAsia="仿宋_GB2312" w:cs="宋体"/>
          <w:sz w:val="24"/>
          <w:szCs w:val="24"/>
        </w:rPr>
        <w:t>2.6 发生安全事故时，组织保护现场、救治伤员，调查情况，提出事故报告。</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cs="宋体"/>
          <w:sz w:val="24"/>
          <w:szCs w:val="24"/>
        </w:rPr>
        <w:t>3 基本安全文明措施</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 贯彻执行“安全第一，预防为主、综合治理”的安全生产方针，保持项目生产安全。配备专（兼）职安监人员，加强劳动保护用品的配备和安全教育，提高施工人员劳动保护意识。</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 贯彻执行国家及各级人民政府关于安全生产的一系列方针、政策、法规、条例和规定，采取一切必要措施和手段强化防腐施工安全管理。</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 严格执行电力行业安全工作规程如《电业安全工作规程</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电业生产事故调查规程</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电力建设安全工作规程</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防止电力生产重大事故的二十五项重点要求》的有关规定，遵守招标方各项安全管理规章制度，服从招标方对安全文明生产的管理和检查、考核。</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4 遵守和执行文明生产的规章制度，按照招标方的要求统一着装，</w:t>
      </w:r>
      <w:r>
        <w:rPr>
          <w:rFonts w:hint="eastAsia" w:ascii="仿宋_GB2312" w:hAnsi="宋体" w:eastAsia="仿宋_GB2312" w:cs="宋体"/>
          <w:sz w:val="24"/>
          <w:szCs w:val="24"/>
          <w:lang w:eastAsia="zh-CN"/>
        </w:rPr>
        <w:t>佩戴标志</w:t>
      </w:r>
      <w:r>
        <w:rPr>
          <w:rFonts w:hint="eastAsia" w:ascii="仿宋_GB2312" w:hAnsi="宋体" w:eastAsia="仿宋_GB2312" w:cs="宋体"/>
          <w:sz w:val="24"/>
          <w:szCs w:val="24"/>
        </w:rPr>
        <w:t>。全面关照和提醒所有在施工现场上工作或停留的人员注意安全，保持管辖范围内的设施处于有条不紊的状态，以免发生人身事故。</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5 在需要的时间和地点，根据业主或有关行政部门的要求，提供和维持所有灯光、护板、栅栏、警告信号必要时应派人值班，以及进行保护或为公众提供安全和方便。未经办理有关手续不得随意在设备、结构、墙板、楼道上开孔或焊接临时结构。</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6 预防或最大限度地减少对附近环境的干扰，以避免因维护检修服务引起的污染、噪声</w:t>
      </w:r>
      <w:r>
        <w:rPr>
          <w:rFonts w:hint="eastAsia" w:ascii="仿宋_GB2312" w:hAnsi="宋体" w:eastAsia="仿宋_GB2312" w:cs="宋体"/>
          <w:sz w:val="24"/>
          <w:szCs w:val="24"/>
          <w:lang w:eastAsia="zh-CN"/>
        </w:rPr>
        <w:t>和其他</w:t>
      </w:r>
      <w:r>
        <w:rPr>
          <w:rFonts w:hint="eastAsia" w:ascii="仿宋_GB2312" w:hAnsi="宋体" w:eastAsia="仿宋_GB2312" w:cs="宋体"/>
          <w:sz w:val="24"/>
          <w:szCs w:val="24"/>
        </w:rPr>
        <w:t>因素对公众或公众财产等造成伤害或妨碍。保持本项目范围内环境干净、卫生、整洁。</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7 每天定时对本项目范围内的地面进行卫生清扫，定点向外运送垃圾，定期对建、构筑物楼梯、栏杆、扶手等进行卫生清理、打扫。</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8 本项目范围内任何公共设施或财产（包括但不限于树木、草坪、道路、照明）不得损坏，严禁防腐涂料直接置放于绿化范围。</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9 施工现场临时设施标准化，有序不乱，创造一个良好的生产、工作环境。</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10 施工现场做到材料、机具、设备、构件和周转材料整齐堆放，</w:t>
      </w:r>
      <w:r>
        <w:rPr>
          <w:rFonts w:hint="eastAsia" w:ascii="仿宋_GB2312" w:hAnsi="宋体" w:eastAsia="仿宋_GB2312" w:cs="宋体"/>
          <w:sz w:val="24"/>
          <w:szCs w:val="24"/>
          <w:lang w:eastAsia="zh-CN"/>
        </w:rPr>
        <w:t>实行</w:t>
      </w:r>
      <w:r>
        <w:rPr>
          <w:rFonts w:hint="eastAsia" w:ascii="仿宋_GB2312" w:hAnsi="宋体" w:eastAsia="仿宋_GB2312" w:cs="宋体"/>
          <w:sz w:val="24"/>
          <w:szCs w:val="24"/>
        </w:rPr>
        <w:t>定置管理，施工场地、道路平整干净。</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 xml:space="preserve">11 </w:t>
      </w:r>
      <w:r>
        <w:rPr>
          <w:rFonts w:hint="eastAsia" w:ascii="仿宋_GB2312" w:hAnsi="宋体" w:eastAsia="仿宋_GB2312" w:cs="宋体"/>
          <w:sz w:val="24"/>
          <w:szCs w:val="24"/>
          <w:lang w:eastAsia="zh-CN"/>
        </w:rPr>
        <w:t>施工现场</w:t>
      </w:r>
      <w:r>
        <w:rPr>
          <w:rFonts w:hint="eastAsia" w:ascii="仿宋_GB2312" w:hAnsi="宋体" w:eastAsia="仿宋_GB2312" w:cs="宋体"/>
          <w:sz w:val="24"/>
          <w:szCs w:val="24"/>
        </w:rPr>
        <w:t>的剩余材料及时回收，做到“工完、料尽、场地清”。</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12 施工现场管理人员和个人应戴分色或有区别的安全帽，管理人员戴袖章或标志。</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13 脚手架搭设标准、规范化，做到验收合格并挂牌使用。</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14 施工现场做到机械设备整洁，安全保护措施齐全可靠，标识醒目。</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15 施工现场制定防火制度并设置明显的防火标志，责任到人，配备足够的消防器材，防火疏散道路通道畅通；现场油漆及其相关易燃易爆物品的管理必须符合消防安全管理。</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16 对参与本工程施工的人员进行社会公德、职业道德、职业</w:t>
      </w:r>
      <w:r>
        <w:rPr>
          <w:rFonts w:hint="eastAsia" w:ascii="仿宋_GB2312" w:hAnsi="宋体" w:eastAsia="仿宋_GB2312" w:cs="宋体"/>
          <w:sz w:val="24"/>
          <w:szCs w:val="24"/>
          <w:lang w:eastAsia="zh-CN"/>
        </w:rPr>
        <w:t>纪律</w:t>
      </w:r>
      <w:r>
        <w:rPr>
          <w:rFonts w:hint="eastAsia" w:ascii="仿宋_GB2312" w:hAnsi="宋体" w:eastAsia="仿宋_GB2312" w:cs="宋体"/>
          <w:sz w:val="24"/>
          <w:szCs w:val="24"/>
        </w:rPr>
        <w:t>的教育，妥善处理施工现场友邻单位的关系，争取各有关单位人员的谅解和支持，控制施工噪声和粉尘，确保生产机组的正常运行。</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17 临时施工用电路线架设符合安全要求，电源盘箱配置标准化盘箱，照明布置合理，照度足够，施工用电必须由专业电工负责，并做好日常施工用电检查，并保留管理痕迹。</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18 加强现场安全保卫工作，严格控制非施工人员进入施工现场。</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19 施工开始前必须向全体作业人员进行安全技术交底，让作业人员了解和掌握工程特点及施工安全措施。</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20 在有危险性的生产区域，如可能发生火灾、爆炸、触电、高空坠落、中毒、窒息、机械伤害、烧烫伤等容易引起人员伤害和设备事故的场所作业前，应制定安全措施并经业主审查合格后严格实施。</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21 满足四川泸州川南发电有限责任公司对文明生产工作的要求，遵守现场文明生产管理的有关规定，保持现场整洁、有序，作业时做到“三无”（无油迹、无水、无灰），“三齐”（拆下的零部件摆放整齐、检修机具摆放整齐、材料备品摆放整齐），“三不乱”（电线不乱拉、管路不乱放、杂物不乱丢），“三不落地”（拆下的设备、零部件不落地，工器具不落地，材料备品配件不落地），每天收工前场地清扫干净，做到工完、料尽、场地清。</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w:t>
      </w:r>
      <w:r>
        <w:rPr>
          <w:rFonts w:ascii="仿宋_GB2312" w:hAnsi="宋体" w:eastAsia="仿宋_GB2312" w:cs="宋体"/>
          <w:sz w:val="24"/>
          <w:szCs w:val="24"/>
        </w:rPr>
        <w:t>2</w:t>
      </w:r>
      <w:r>
        <w:rPr>
          <w:rFonts w:hint="eastAsia" w:ascii="仿宋_GB2312" w:hAnsi="宋体" w:eastAsia="仿宋_GB2312" w:cs="宋体"/>
          <w:sz w:val="24"/>
          <w:szCs w:val="24"/>
        </w:rPr>
        <w:t xml:space="preserve"> 施工材料应存放有序，保证通道畅通，场地干净卫生。</w:t>
      </w:r>
    </w:p>
    <w:p>
      <w:pPr>
        <w:autoSpaceDE w:val="0"/>
        <w:autoSpaceDN w:val="0"/>
        <w:adjustRightInd w:val="0"/>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w:t>
      </w:r>
      <w:r>
        <w:rPr>
          <w:rFonts w:ascii="仿宋_GB2312" w:hAnsi="宋体" w:eastAsia="仿宋_GB2312" w:cs="宋体"/>
          <w:sz w:val="24"/>
          <w:szCs w:val="24"/>
        </w:rPr>
        <w:t>3</w:t>
      </w:r>
      <w:r>
        <w:rPr>
          <w:rFonts w:hint="eastAsia" w:ascii="仿宋_GB2312" w:hAnsi="宋体" w:eastAsia="仿宋_GB2312" w:cs="宋体"/>
          <w:sz w:val="24"/>
          <w:szCs w:val="24"/>
        </w:rPr>
        <w:t xml:space="preserve"> 严格按照：“工完、料尽、场地清”施工，一切防腐产生</w:t>
      </w:r>
      <w:r>
        <w:rPr>
          <w:rFonts w:ascii="仿宋_GB2312" w:hAnsi="宋体" w:eastAsia="仿宋_GB2312" w:cs="宋体"/>
          <w:sz w:val="24"/>
          <w:szCs w:val="24"/>
        </w:rPr>
        <w:t>的废弃物</w:t>
      </w:r>
      <w:r>
        <w:rPr>
          <w:rFonts w:hint="eastAsia" w:ascii="仿宋_GB2312" w:hAnsi="宋体" w:eastAsia="仿宋_GB2312" w:cs="宋体"/>
          <w:sz w:val="24"/>
          <w:szCs w:val="24"/>
        </w:rPr>
        <w:t>应随时清理干净。</w:t>
      </w:r>
    </w:p>
    <w:p>
      <w:pPr>
        <w:autoSpaceDE w:val="0"/>
        <w:autoSpaceDN w:val="0"/>
        <w:adjustRightInd w:val="0"/>
        <w:ind w:right="-334"/>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w:t>
      </w:r>
      <w:r>
        <w:rPr>
          <w:rFonts w:ascii="仿宋_GB2312" w:hAnsi="宋体" w:eastAsia="仿宋_GB2312" w:cs="宋体"/>
          <w:sz w:val="24"/>
          <w:szCs w:val="24"/>
        </w:rPr>
        <w:t>4</w:t>
      </w:r>
      <w:r>
        <w:rPr>
          <w:rFonts w:hint="eastAsia" w:ascii="仿宋_GB2312" w:hAnsi="宋体" w:eastAsia="仿宋_GB2312" w:cs="宋体"/>
          <w:sz w:val="24"/>
          <w:szCs w:val="24"/>
        </w:rPr>
        <w:t xml:space="preserve"> 高处作业应拴合格的安全带，工器具要放在工具包内或用绳索拴牢使用、传递。使用的脚手架应搭设牢固，架板安好并拴牢。</w:t>
      </w:r>
    </w:p>
    <w:p>
      <w:pPr>
        <w:autoSpaceDE w:val="0"/>
        <w:autoSpaceDN w:val="0"/>
        <w:adjustRightInd w:val="0"/>
        <w:ind w:right="-334"/>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2</w:t>
      </w:r>
      <w:r>
        <w:rPr>
          <w:rFonts w:ascii="仿宋_GB2312" w:hAnsi="宋体" w:eastAsia="仿宋_GB2312" w:cs="宋体"/>
          <w:sz w:val="24"/>
          <w:szCs w:val="24"/>
        </w:rPr>
        <w:t>5</w:t>
      </w:r>
      <w:r>
        <w:rPr>
          <w:rFonts w:hint="eastAsia" w:ascii="仿宋_GB2312" w:hAnsi="宋体" w:eastAsia="仿宋_GB2312" w:cs="宋体"/>
          <w:sz w:val="24"/>
          <w:szCs w:val="24"/>
        </w:rPr>
        <w:t xml:space="preserve"> 电动工具、气动工具必须经检验合格，使用时应遵守安全规程规定，在容器内禁止使用超过12V的电动工具。</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2</w:t>
      </w:r>
      <w:r>
        <w:rPr>
          <w:rFonts w:ascii="仿宋_GB2312" w:hAnsi="宋体" w:eastAsia="仿宋_GB2312" w:cs="宋体"/>
        </w:rPr>
        <w:t>6</w:t>
      </w:r>
      <w:r>
        <w:rPr>
          <w:rFonts w:hint="eastAsia" w:ascii="仿宋_GB2312" w:hAnsi="宋体" w:eastAsia="仿宋_GB2312" w:cs="宋体"/>
        </w:rPr>
        <w:t xml:space="preserve"> 对影响现场文明生产的设备问题要提出合理建议，协助招标方采取必要的措施进行改造，从而达到从根本上治理，实现生产现场物见本色的目标。</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2</w:t>
      </w:r>
      <w:r>
        <w:rPr>
          <w:rFonts w:ascii="仿宋_GB2312" w:hAnsi="宋体" w:eastAsia="仿宋_GB2312" w:cs="宋体"/>
        </w:rPr>
        <w:t>7</w:t>
      </w:r>
      <w:r>
        <w:rPr>
          <w:rFonts w:hint="eastAsia" w:ascii="仿宋_GB2312" w:hAnsi="宋体" w:eastAsia="仿宋_GB2312" w:cs="宋体"/>
        </w:rPr>
        <w:t xml:space="preserve"> 实行文明作业及成品保护，工具、图纸、材料摆放整齐，要特别注意工器具不要随意脱手，应放在橡胶垫或木材垫板上，以防地砖损坏。检修完工后经运行验收方可结束工作票。</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2</w:t>
      </w:r>
      <w:r>
        <w:rPr>
          <w:rFonts w:ascii="仿宋_GB2312" w:hAnsi="宋体" w:eastAsia="仿宋_GB2312" w:cs="宋体"/>
        </w:rPr>
        <w:t>8</w:t>
      </w:r>
      <w:r>
        <w:rPr>
          <w:rFonts w:hint="eastAsia" w:ascii="仿宋_GB2312" w:hAnsi="宋体" w:eastAsia="仿宋_GB2312" w:cs="宋体"/>
        </w:rPr>
        <w:t xml:space="preserve"> 班组、值班室应窗明几净，箱柜、工具等放置有序，无积灰、无蛛网、无烟头、无痰迹，</w:t>
      </w:r>
      <w:r>
        <w:rPr>
          <w:rFonts w:hint="eastAsia" w:ascii="仿宋_GB2312" w:hAnsi="宋体" w:eastAsia="仿宋_GB2312" w:cs="宋体"/>
          <w:lang w:eastAsia="zh-CN"/>
        </w:rPr>
        <w:t>各种台账</w:t>
      </w:r>
      <w:r>
        <w:rPr>
          <w:rFonts w:hint="eastAsia" w:ascii="仿宋_GB2312" w:hAnsi="宋体" w:eastAsia="仿宋_GB2312" w:cs="宋体"/>
        </w:rPr>
        <w:t>整齐、规范。</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ascii="仿宋_GB2312" w:hAnsi="宋体" w:eastAsia="仿宋_GB2312" w:cs="宋体"/>
        </w:rPr>
        <w:t>29</w:t>
      </w:r>
      <w:r>
        <w:rPr>
          <w:rFonts w:hint="eastAsia" w:ascii="仿宋_GB2312" w:hAnsi="宋体" w:eastAsia="仿宋_GB2312" w:cs="宋体"/>
        </w:rPr>
        <w:t xml:space="preserve"> 按招标方规定每星期进行安全文明生产联合检查活动，对检查出的问题认真组织人员及时给予整改。</w:t>
      </w:r>
    </w:p>
    <w:p>
      <w:pPr>
        <w:pStyle w:val="5"/>
        <w:spacing w:line="240" w:lineRule="auto"/>
        <w:ind w:firstLine="0"/>
        <w:rPr>
          <w:rFonts w:hint="eastAsia" w:ascii="仿宋_GB2312" w:hAnsi="宋体" w:eastAsia="仿宋_GB2312" w:cs="宋体"/>
          <w:lang w:eastAsia="zh-CN"/>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0</w:t>
      </w:r>
      <w:r>
        <w:rPr>
          <w:rFonts w:hint="eastAsia" w:ascii="仿宋_GB2312" w:hAnsi="宋体" w:eastAsia="仿宋_GB2312" w:cs="宋体"/>
        </w:rPr>
        <w:t xml:space="preserve"> 现场严禁吸烟。</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1</w:t>
      </w:r>
      <w:r>
        <w:rPr>
          <w:rFonts w:hint="eastAsia" w:ascii="仿宋_GB2312" w:hAnsi="宋体" w:eastAsia="仿宋_GB2312" w:cs="宋体"/>
        </w:rPr>
        <w:t xml:space="preserve"> 设备标牌齐全醒目、准确、规范。</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2</w:t>
      </w:r>
      <w:r>
        <w:rPr>
          <w:rFonts w:hint="eastAsia" w:ascii="仿宋_GB2312" w:hAnsi="宋体" w:eastAsia="仿宋_GB2312" w:cs="宋体"/>
        </w:rPr>
        <w:t xml:space="preserve"> 遵守所有招标方的有关文明作业的规章制度，文明检修工艺纪律。同时我方将采取措施履行如下责任：</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2</w:t>
      </w:r>
      <w:r>
        <w:rPr>
          <w:rFonts w:hint="eastAsia" w:ascii="仿宋_GB2312" w:hAnsi="宋体" w:eastAsia="仿宋_GB2312" w:cs="宋体"/>
        </w:rPr>
        <w:t>.1 为了保护设备或其他人员的安全及方便，在招标方所要求的时间和地点，以一定的费用实现以上效果的实施。</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2</w:t>
      </w:r>
      <w:r>
        <w:rPr>
          <w:rFonts w:hint="eastAsia" w:ascii="仿宋_GB2312" w:hAnsi="宋体" w:eastAsia="仿宋_GB2312" w:cs="宋体"/>
        </w:rPr>
        <w:t>.2 以</w:t>
      </w:r>
      <w:r>
        <w:rPr>
          <w:rFonts w:hint="eastAsia" w:ascii="仿宋_GB2312" w:hAnsi="宋体" w:eastAsia="仿宋_GB2312" w:cs="宋体"/>
          <w:lang w:eastAsia="zh-CN"/>
        </w:rPr>
        <w:t>一定的</w:t>
      </w:r>
      <w:r>
        <w:rPr>
          <w:rFonts w:hint="eastAsia" w:ascii="仿宋_GB2312" w:hAnsi="宋体" w:eastAsia="仿宋_GB2312" w:cs="宋体"/>
        </w:rPr>
        <w:t>费用采取适当的措施，确保工作人员和劳务人员的健康和安全。</w:t>
      </w:r>
    </w:p>
    <w:p>
      <w:pPr>
        <w:pStyle w:val="5"/>
        <w:spacing w:line="240" w:lineRule="auto"/>
        <w:ind w:firstLine="0"/>
        <w:rPr>
          <w:rFonts w:hint="eastAsia" w:ascii="仿宋_GB2312" w:hAnsi="宋体" w:eastAsia="仿宋_GB2312" w:cs="宋体"/>
        </w:rPr>
      </w:pPr>
      <w:r>
        <w:rPr>
          <w:rFonts w:hint="eastAsia" w:ascii="仿宋_GB2312" w:hAnsi="宋体" w:eastAsia="仿宋_GB2312"/>
          <w:lang w:val="en-US" w:eastAsia="zh-CN"/>
        </w:rPr>
        <w:t>2</w:t>
      </w:r>
      <w:r>
        <w:rPr>
          <w:rFonts w:hint="eastAsia" w:ascii="仿宋_GB2312" w:hAnsi="宋体" w:eastAsia="仿宋_GB2312"/>
        </w:rPr>
        <w:t>.3.</w:t>
      </w:r>
      <w:r>
        <w:rPr>
          <w:rFonts w:hint="eastAsia" w:ascii="仿宋_GB2312" w:hAnsi="宋体" w:eastAsia="仿宋_GB2312" w:cs="宋体"/>
        </w:rPr>
        <w:t>3</w:t>
      </w:r>
      <w:r>
        <w:rPr>
          <w:rFonts w:ascii="仿宋_GB2312" w:hAnsi="宋体" w:eastAsia="仿宋_GB2312" w:cs="宋体"/>
        </w:rPr>
        <w:t>2</w:t>
      </w:r>
      <w:r>
        <w:rPr>
          <w:rFonts w:hint="eastAsia" w:ascii="仿宋_GB2312" w:hAnsi="宋体" w:eastAsia="仿宋_GB2312" w:cs="宋体"/>
        </w:rPr>
        <w:t>.3 在任何时候均应采取一切合理的预防措施，以防止发生任何违法的、暴乱性的或妨害治安的行为，并维护治安和保护厂区附近的个人或财产免遭上述行为的破坏。</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易燃品管理</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.1 应使用供应商所提供的易燃品包装物，并明显标示类别。</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.2 油库内应保持清洁，无杂物，地面油迹应及时清除干净。</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.3进入易燃品库禁带火种，不能穿能产生静电的化纤服装。</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.4工作人员必须小心谨慎处理易燃品，必须使用正确的卸货程序以避免包装损坏或工作人员受到伤害。</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.5易燃物卸下后，必须及时使用专用工具移往储存区。硬纸箱应待送到储存区才开启，以免在卸货时箱内的易燃物有散落的危险。</w:t>
      </w:r>
    </w:p>
    <w:p>
      <w:pPr>
        <w:rPr>
          <w:rFonts w:hint="eastAsia" w:ascii="仿宋_GB2312" w:hAnsi="宋体" w:eastAsia="仿宋_GB2312" w:cs="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w:t>
      </w:r>
      <w:r>
        <w:rPr>
          <w:rFonts w:ascii="仿宋_GB2312" w:hAnsi="宋体" w:eastAsia="仿宋_GB2312" w:cs="宋体"/>
          <w:sz w:val="24"/>
          <w:szCs w:val="24"/>
        </w:rPr>
        <w:t>6</w:t>
      </w:r>
      <w:r>
        <w:rPr>
          <w:rFonts w:hint="eastAsia" w:ascii="仿宋_GB2312" w:hAnsi="宋体" w:eastAsia="仿宋_GB2312" w:cs="宋体"/>
          <w:sz w:val="24"/>
          <w:szCs w:val="24"/>
        </w:rPr>
        <w:t>易燃物库房应安装货架，并附设起吊台，平稳安放。各类别的易燃物应有系统地排列，方便取用。已储存较久的应先使用，不宜被新到的存货阻挡提用。</w:t>
      </w:r>
    </w:p>
    <w:p>
      <w:pPr>
        <w:rPr>
          <w:rFonts w:hint="eastAsia" w:ascii="仿宋_GB2312" w:hAnsi="宋体" w:eastAsia="仿宋_GB2312" w:cs="宋体"/>
          <w:sz w:val="24"/>
          <w:szCs w:val="24"/>
        </w:rPr>
      </w:pPr>
      <w:r>
        <w:rPr>
          <w:rFonts w:hint="eastAsia" w:ascii="仿宋_GB2312" w:hAnsi="宋体" w:eastAsia="仿宋_GB2312"/>
          <w:sz w:val="24"/>
          <w:szCs w:val="24"/>
        </w:rPr>
        <w:t>3.3.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w:t>
      </w:r>
      <w:r>
        <w:rPr>
          <w:rFonts w:ascii="仿宋_GB2312" w:hAnsi="宋体" w:eastAsia="仿宋_GB2312" w:cs="宋体"/>
          <w:sz w:val="24"/>
          <w:szCs w:val="24"/>
        </w:rPr>
        <w:t>7</w:t>
      </w:r>
      <w:r>
        <w:rPr>
          <w:rFonts w:hint="eastAsia" w:ascii="仿宋_GB2312" w:hAnsi="宋体" w:eastAsia="仿宋_GB2312" w:cs="宋体"/>
          <w:sz w:val="24"/>
          <w:szCs w:val="24"/>
        </w:rPr>
        <w:t xml:space="preserve"> 只允许工作人员进入易燃品库，无关人员禁止进入。</w:t>
      </w:r>
    </w:p>
    <w:p>
      <w:pPr>
        <w:rPr>
          <w:rFonts w:hint="eastAsia" w:ascii="仿宋_GB2312" w:hAnsi="宋体" w:eastAsia="仿宋_GB2312" w:cs="宋体"/>
          <w:sz w:val="24"/>
          <w:szCs w:val="24"/>
        </w:rPr>
      </w:pPr>
      <w:r>
        <w:rPr>
          <w:rFonts w:hint="eastAsia" w:ascii="仿宋_GB2312" w:hAnsi="宋体" w:eastAsia="仿宋_GB2312"/>
          <w:sz w:val="24"/>
          <w:szCs w:val="24"/>
        </w:rPr>
        <w:t>3.3.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w:t>
      </w:r>
      <w:r>
        <w:rPr>
          <w:rFonts w:ascii="仿宋_GB2312" w:hAnsi="宋体" w:eastAsia="仿宋_GB2312" w:cs="宋体"/>
          <w:sz w:val="24"/>
          <w:szCs w:val="24"/>
        </w:rPr>
        <w:t>8</w:t>
      </w:r>
      <w:r>
        <w:rPr>
          <w:rFonts w:hint="eastAsia" w:ascii="仿宋_GB2312" w:hAnsi="宋体" w:eastAsia="仿宋_GB2312" w:cs="宋体"/>
          <w:sz w:val="24"/>
          <w:szCs w:val="24"/>
        </w:rPr>
        <w:t xml:space="preserve"> 禁止穿钉有铁掌的鞋子进入易燃品库。</w:t>
      </w:r>
    </w:p>
    <w:p>
      <w:pPr>
        <w:rPr>
          <w:rFonts w:hint="eastAsia" w:ascii="仿宋_GB2312" w:hAnsi="宋体" w:eastAsia="仿宋_GB2312" w:cs="宋体"/>
          <w:sz w:val="24"/>
          <w:szCs w:val="24"/>
        </w:rPr>
      </w:pPr>
      <w:r>
        <w:rPr>
          <w:rFonts w:hint="eastAsia" w:ascii="仿宋_GB2312" w:hAnsi="宋体" w:eastAsia="仿宋_GB2312"/>
          <w:sz w:val="24"/>
          <w:szCs w:val="24"/>
        </w:rPr>
        <w:t>3.3.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w:t>
      </w:r>
      <w:r>
        <w:rPr>
          <w:rFonts w:ascii="仿宋_GB2312" w:hAnsi="宋体" w:eastAsia="仿宋_GB2312" w:cs="宋体"/>
          <w:sz w:val="24"/>
          <w:szCs w:val="24"/>
        </w:rPr>
        <w:t>9</w:t>
      </w:r>
      <w:r>
        <w:rPr>
          <w:rFonts w:hint="eastAsia" w:ascii="仿宋_GB2312" w:hAnsi="宋体" w:eastAsia="仿宋_GB2312" w:cs="宋体"/>
          <w:sz w:val="24"/>
          <w:szCs w:val="24"/>
        </w:rPr>
        <w:t>将易燃物储存于户外是不良的做法。但若基于空间的原因必须存放于室外时，就应采取预防措施，将不良的后果减至最低。</w:t>
      </w:r>
    </w:p>
    <w:p>
      <w:pPr>
        <w:rPr>
          <w:rFonts w:hint="eastAsia" w:ascii="仿宋_GB2312" w:hAnsi="宋体" w:eastAsia="仿宋_GB2312" w:cs="宋体"/>
          <w:sz w:val="24"/>
          <w:szCs w:val="24"/>
        </w:rPr>
      </w:pPr>
      <w:r>
        <w:rPr>
          <w:rFonts w:hint="eastAsia" w:ascii="仿宋_GB2312" w:hAnsi="宋体" w:eastAsia="仿宋_GB2312"/>
          <w:sz w:val="24"/>
          <w:szCs w:val="24"/>
        </w:rPr>
        <w:t>3.3.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.1</w:t>
      </w:r>
      <w:r>
        <w:rPr>
          <w:rFonts w:ascii="仿宋_GB2312" w:hAnsi="宋体" w:eastAsia="仿宋_GB2312" w:cs="宋体"/>
          <w:sz w:val="24"/>
          <w:szCs w:val="24"/>
        </w:rPr>
        <w:t>0</w:t>
      </w:r>
      <w:r>
        <w:rPr>
          <w:rFonts w:hint="eastAsia" w:ascii="仿宋_GB2312" w:hAnsi="宋体" w:eastAsia="仿宋_GB2312" w:cs="宋体"/>
          <w:sz w:val="24"/>
          <w:szCs w:val="24"/>
        </w:rPr>
        <w:t xml:space="preserve"> </w:t>
      </w:r>
      <w:r>
        <w:rPr>
          <w:rFonts w:hint="eastAsia" w:ascii="仿宋_GB2312" w:hAnsi="宋体" w:eastAsia="仿宋_GB2312" w:cs="宋体"/>
          <w:sz w:val="24"/>
          <w:szCs w:val="24"/>
          <w:lang w:eastAsia="zh-CN"/>
        </w:rPr>
        <w:t>其他易燃物</w:t>
      </w:r>
      <w:r>
        <w:rPr>
          <w:rFonts w:hint="eastAsia" w:ascii="仿宋_GB2312" w:hAnsi="宋体" w:eastAsia="仿宋_GB2312" w:cs="宋体"/>
          <w:sz w:val="24"/>
          <w:szCs w:val="24"/>
        </w:rPr>
        <w:t>必须遵守其具体存放规则。</w:t>
      </w:r>
    </w:p>
    <w:p>
      <w:pPr>
        <w:rPr>
          <w:rFonts w:hint="eastAsia" w:ascii="仿宋_GB2312" w:hAnsi="宋体" w:eastAsia="仿宋_GB2312" w:cs="宋体"/>
          <w:sz w:val="24"/>
          <w:szCs w:val="24"/>
        </w:rPr>
      </w:pPr>
      <w:r>
        <w:rPr>
          <w:rFonts w:hint="eastAsia" w:ascii="仿宋_GB2312" w:hAnsi="宋体" w:eastAsia="仿宋_GB2312"/>
          <w:sz w:val="24"/>
          <w:szCs w:val="24"/>
        </w:rPr>
        <w:t>3.3.</w:t>
      </w:r>
      <w:r>
        <w:rPr>
          <w:rFonts w:hint="eastAsia" w:ascii="仿宋_GB2312" w:hAnsi="宋体" w:eastAsia="仿宋_GB2312" w:cs="宋体"/>
          <w:sz w:val="24"/>
          <w:szCs w:val="24"/>
        </w:rPr>
        <w:t>3</w:t>
      </w:r>
      <w:r>
        <w:rPr>
          <w:rFonts w:ascii="仿宋_GB2312" w:hAnsi="宋体" w:eastAsia="仿宋_GB2312" w:cs="宋体"/>
          <w:sz w:val="24"/>
          <w:szCs w:val="24"/>
        </w:rPr>
        <w:t>3</w:t>
      </w:r>
      <w:r>
        <w:rPr>
          <w:rFonts w:hint="eastAsia" w:ascii="仿宋_GB2312" w:hAnsi="宋体" w:eastAsia="仿宋_GB2312" w:cs="宋体"/>
          <w:sz w:val="24"/>
          <w:szCs w:val="24"/>
        </w:rPr>
        <w:t>.1</w:t>
      </w:r>
      <w:r>
        <w:rPr>
          <w:rFonts w:ascii="仿宋_GB2312" w:hAnsi="宋体" w:eastAsia="仿宋_GB2312" w:cs="宋体"/>
          <w:sz w:val="24"/>
          <w:szCs w:val="24"/>
        </w:rPr>
        <w:t>1</w:t>
      </w:r>
      <w:r>
        <w:rPr>
          <w:rFonts w:hint="eastAsia" w:ascii="仿宋_GB2312" w:hAnsi="宋体" w:eastAsia="仿宋_GB2312" w:cs="宋体"/>
          <w:sz w:val="24"/>
          <w:szCs w:val="24"/>
        </w:rPr>
        <w:t xml:space="preserve"> 尽量勿让易燃物受潮和受到阳光直接照射。</w:t>
      </w:r>
    </w:p>
    <w:p>
      <w:pPr>
        <w:pStyle w:val="6"/>
        <w:spacing w:line="240" w:lineRule="auto"/>
        <w:rPr>
          <w:rFonts w:hint="eastAsia" w:ascii="仿宋_GB2312" w:hAnsi="宋体" w:eastAsia="仿宋_GB2312"/>
          <w:sz w:val="24"/>
          <w:szCs w:val="24"/>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.1</w:t>
      </w:r>
      <w:r>
        <w:rPr>
          <w:rFonts w:ascii="仿宋_GB2312" w:hAnsi="宋体" w:eastAsia="仿宋_GB2312"/>
          <w:sz w:val="24"/>
          <w:szCs w:val="24"/>
        </w:rPr>
        <w:t>2</w:t>
      </w:r>
      <w:r>
        <w:rPr>
          <w:rFonts w:hint="eastAsia" w:ascii="仿宋_GB2312" w:hAnsi="宋体" w:eastAsia="仿宋_GB2312"/>
          <w:sz w:val="24"/>
          <w:szCs w:val="24"/>
        </w:rPr>
        <w:t xml:space="preserve"> 长期接触润滑油可能会引起皮肤过敏，应使用合适的防护用品。</w:t>
      </w:r>
    </w:p>
    <w:p>
      <w:pPr>
        <w:pStyle w:val="6"/>
        <w:spacing w:line="240" w:lineRule="auto"/>
        <w:rPr>
          <w:rFonts w:ascii="仿宋_GB2312" w:hAnsi="宋体" w:eastAsia="仿宋_GB2312"/>
          <w:sz w:val="24"/>
          <w:szCs w:val="24"/>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.1</w:t>
      </w:r>
      <w:r>
        <w:rPr>
          <w:rFonts w:ascii="仿宋_GB2312" w:hAnsi="宋体" w:eastAsia="仿宋_GB2312"/>
          <w:sz w:val="24"/>
          <w:szCs w:val="24"/>
        </w:rPr>
        <w:t>3</w:t>
      </w:r>
      <w:r>
        <w:rPr>
          <w:rFonts w:hint="eastAsia" w:ascii="仿宋_GB2312" w:hAnsi="宋体" w:eastAsia="仿宋_GB2312"/>
          <w:sz w:val="24"/>
          <w:szCs w:val="24"/>
        </w:rPr>
        <w:t xml:space="preserve"> 在无法使用防渗透手套时，可在工作前在皮肤上擦拭适当的防油性护手霜。</w:t>
      </w:r>
    </w:p>
    <w:p>
      <w:pPr>
        <w:pStyle w:val="6"/>
        <w:spacing w:line="240" w:lineRule="auto"/>
        <w:rPr>
          <w:rFonts w:hint="eastAsia" w:ascii="仿宋_GB2312" w:hAnsi="宋体" w:eastAsia="仿宋_GB2312"/>
          <w:sz w:val="24"/>
          <w:szCs w:val="24"/>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.1</w:t>
      </w:r>
      <w:r>
        <w:rPr>
          <w:rFonts w:ascii="仿宋_GB2312" w:hAnsi="宋体" w:eastAsia="仿宋_GB2312"/>
          <w:sz w:val="24"/>
          <w:szCs w:val="24"/>
        </w:rPr>
        <w:t>4</w:t>
      </w:r>
      <w:r>
        <w:rPr>
          <w:rFonts w:hint="eastAsia" w:ascii="仿宋_GB2312" w:hAnsi="宋体" w:eastAsia="仿宋_GB2312"/>
          <w:sz w:val="24"/>
          <w:szCs w:val="24"/>
        </w:rPr>
        <w:t>经常</w:t>
      </w:r>
      <w:r>
        <w:rPr>
          <w:rFonts w:hint="eastAsia" w:ascii="仿宋_GB2312" w:hAnsi="宋体" w:eastAsia="仿宋_GB2312"/>
          <w:sz w:val="24"/>
          <w:szCs w:val="24"/>
          <w:lang w:eastAsia="zh-CN"/>
        </w:rPr>
        <w:t>（</w:t>
      </w:r>
      <w:r>
        <w:rPr>
          <w:rFonts w:hint="eastAsia" w:ascii="仿宋_GB2312" w:hAnsi="宋体" w:eastAsia="仿宋_GB2312"/>
          <w:sz w:val="24"/>
          <w:szCs w:val="24"/>
        </w:rPr>
        <w:t>特别在工作后</w:t>
      </w:r>
      <w:r>
        <w:rPr>
          <w:rFonts w:hint="eastAsia" w:ascii="仿宋_GB2312" w:hAnsi="宋体" w:eastAsia="仿宋_GB2312"/>
          <w:sz w:val="24"/>
          <w:szCs w:val="24"/>
          <w:lang w:eastAsia="zh-CN"/>
        </w:rPr>
        <w:t>）</w:t>
      </w:r>
      <w:r>
        <w:rPr>
          <w:rFonts w:hint="eastAsia" w:ascii="仿宋_GB2312" w:hAnsi="宋体" w:eastAsia="仿宋_GB2312"/>
          <w:sz w:val="24"/>
          <w:szCs w:val="24"/>
        </w:rPr>
        <w:t>清洗皮肤。切勿用汽油或煤油清洁皮肤，应用肥皂或中性洗涤剂进行清洗。洗涤后可用面霜保护皮肤。</w:t>
      </w:r>
    </w:p>
    <w:p>
      <w:pPr>
        <w:pStyle w:val="6"/>
        <w:spacing w:line="240" w:lineRule="auto"/>
        <w:rPr>
          <w:rFonts w:hint="eastAsia" w:ascii="仿宋_GB2312" w:hAnsi="宋体" w:eastAsia="仿宋_GB2312"/>
          <w:sz w:val="24"/>
          <w:szCs w:val="24"/>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w:t>
      </w:r>
      <w:r>
        <w:rPr>
          <w:rFonts w:ascii="仿宋_GB2312" w:hAnsi="宋体" w:eastAsia="仿宋_GB2312"/>
          <w:sz w:val="24"/>
          <w:szCs w:val="24"/>
        </w:rPr>
        <w:t>15</w:t>
      </w:r>
      <w:r>
        <w:rPr>
          <w:rFonts w:hint="eastAsia" w:ascii="仿宋_GB2312" w:hAnsi="宋体" w:eastAsia="仿宋_GB2312"/>
          <w:sz w:val="24"/>
          <w:szCs w:val="24"/>
        </w:rPr>
        <w:t xml:space="preserve"> 切勿穿着油迹渗透的衣物，工作服应经常换洗，特别小心避免日常衣物</w:t>
      </w:r>
      <w:r>
        <w:rPr>
          <w:rFonts w:hint="eastAsia" w:ascii="仿宋_GB2312" w:hAnsi="宋体" w:eastAsia="仿宋_GB2312"/>
          <w:sz w:val="24"/>
          <w:szCs w:val="24"/>
          <w:lang w:eastAsia="zh-CN"/>
        </w:rPr>
        <w:t>（</w:t>
      </w:r>
      <w:r>
        <w:rPr>
          <w:rFonts w:hint="eastAsia" w:ascii="仿宋_GB2312" w:hAnsi="宋体" w:eastAsia="仿宋_GB2312"/>
          <w:sz w:val="24"/>
          <w:szCs w:val="24"/>
        </w:rPr>
        <w:t>尤其是内衣裤</w:t>
      </w:r>
      <w:r>
        <w:rPr>
          <w:rFonts w:hint="eastAsia" w:ascii="仿宋_GB2312" w:hAnsi="宋体" w:eastAsia="仿宋_GB2312"/>
          <w:sz w:val="24"/>
          <w:szCs w:val="24"/>
          <w:lang w:eastAsia="zh-CN"/>
        </w:rPr>
        <w:t>）</w:t>
      </w:r>
      <w:r>
        <w:rPr>
          <w:rFonts w:hint="eastAsia" w:ascii="仿宋_GB2312" w:hAnsi="宋体" w:eastAsia="仿宋_GB2312"/>
          <w:sz w:val="24"/>
          <w:szCs w:val="24"/>
        </w:rPr>
        <w:t>被油迹沾染。</w:t>
      </w:r>
    </w:p>
    <w:p>
      <w:pPr>
        <w:pStyle w:val="6"/>
        <w:spacing w:line="240" w:lineRule="auto"/>
        <w:rPr>
          <w:rFonts w:hint="eastAsia" w:ascii="仿宋_GB2312" w:hAnsi="宋体" w:eastAsia="仿宋_GB2312"/>
          <w:sz w:val="24"/>
          <w:szCs w:val="24"/>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w:t>
      </w:r>
      <w:r>
        <w:rPr>
          <w:rFonts w:ascii="仿宋_GB2312" w:hAnsi="宋体" w:eastAsia="仿宋_GB2312"/>
          <w:sz w:val="24"/>
          <w:szCs w:val="24"/>
        </w:rPr>
        <w:t>16</w:t>
      </w:r>
      <w:r>
        <w:rPr>
          <w:rFonts w:hint="eastAsia" w:ascii="仿宋_GB2312" w:hAnsi="宋体" w:eastAsia="仿宋_GB2312"/>
          <w:sz w:val="24"/>
          <w:szCs w:val="24"/>
        </w:rPr>
        <w:t>如发现身体任何部分出现疹，疮或瘤等，应立即向上级报告，加以治疗。</w:t>
      </w:r>
    </w:p>
    <w:p>
      <w:pPr>
        <w:pStyle w:val="6"/>
        <w:spacing w:line="240" w:lineRule="auto"/>
        <w:rPr>
          <w:rFonts w:hint="eastAsia"/>
        </w:rPr>
      </w:pPr>
      <w:r>
        <w:rPr>
          <w:rFonts w:hint="eastAsia" w:ascii="仿宋_GB2312" w:hAnsi="宋体" w:eastAsia="仿宋_GB2312"/>
          <w:sz w:val="24"/>
          <w:szCs w:val="24"/>
        </w:rPr>
        <w:t>3.3.3</w:t>
      </w:r>
      <w:r>
        <w:rPr>
          <w:rFonts w:ascii="仿宋_GB2312" w:hAnsi="宋体" w:eastAsia="仿宋_GB2312"/>
          <w:sz w:val="24"/>
          <w:szCs w:val="24"/>
        </w:rPr>
        <w:t>3</w:t>
      </w:r>
      <w:r>
        <w:rPr>
          <w:rFonts w:hint="eastAsia" w:ascii="仿宋_GB2312" w:hAnsi="宋体" w:eastAsia="仿宋_GB2312"/>
          <w:sz w:val="24"/>
          <w:szCs w:val="24"/>
        </w:rPr>
        <w:t>.</w:t>
      </w:r>
      <w:r>
        <w:rPr>
          <w:rFonts w:ascii="仿宋_GB2312" w:hAnsi="宋体" w:eastAsia="仿宋_GB2312"/>
          <w:sz w:val="24"/>
          <w:szCs w:val="24"/>
        </w:rPr>
        <w:t>17</w:t>
      </w:r>
      <w:r>
        <w:rPr>
          <w:rFonts w:hint="eastAsia" w:ascii="仿宋_GB2312" w:hAnsi="宋体" w:eastAsia="仿宋_GB2312"/>
          <w:sz w:val="24"/>
          <w:szCs w:val="24"/>
        </w:rPr>
        <w:t xml:space="preserve"> 配备适当的医疗设备和急救用品。设专人负责，确保上述措施的执行。</w:t>
      </w:r>
    </w:p>
    <w:p>
      <w:pPr>
        <w:pStyle w:val="2"/>
        <w:spacing w:before="120" w:line="240" w:lineRule="auto"/>
        <w:rPr>
          <w:rFonts w:hint="eastAsia" w:ascii="仿宋_GB2312" w:hAnsi="楷体" w:eastAsia="仿宋_GB2312"/>
        </w:rPr>
      </w:pPr>
      <w:r>
        <w:rPr>
          <w:rFonts w:hint="eastAsia" w:ascii="楷体" w:hAnsi="楷体" w:eastAsia="楷体" w:cs="宋体"/>
          <w:kern w:val="0"/>
        </w:rPr>
        <w:t xml:space="preserve"> </w:t>
      </w:r>
      <w:bookmarkStart w:id="7" w:name="_Toc22279"/>
      <w:r>
        <w:rPr>
          <w:rFonts w:hint="eastAsia" w:ascii="仿宋_GB2312" w:hAnsi="楷体" w:eastAsia="仿宋_GB2312"/>
        </w:rPr>
        <w:t>投标方现场服务</w:t>
      </w:r>
      <w:bookmarkEnd w:id="7"/>
    </w:p>
    <w:p>
      <w:pPr>
        <w:pStyle w:val="6"/>
        <w:spacing w:line="240" w:lineRule="auto"/>
        <w:ind w:firstLine="480" w:firstLineChars="200"/>
        <w:rPr>
          <w:rFonts w:hint="eastAsia" w:hAnsi="宋体"/>
          <w:sz w:val="24"/>
          <w:szCs w:val="24"/>
        </w:rPr>
      </w:pPr>
      <w:r>
        <w:rPr>
          <w:rFonts w:hint="eastAsia" w:ascii="仿宋_GB2312" w:hAnsi="宋体" w:eastAsia="仿宋_GB2312"/>
          <w:sz w:val="24"/>
          <w:szCs w:val="24"/>
        </w:rPr>
        <w:t>投标方现场服务人员的目的是在要求工期内按时完成防腐相关任务。投标方要派合格的现场服务人员。如果投标阶段人数不能满足工程需要，投标方要追加人数，且不发生费用</w:t>
      </w:r>
      <w:r>
        <w:rPr>
          <w:rFonts w:hint="eastAsia" w:hAnsi="宋体"/>
          <w:sz w:val="24"/>
          <w:szCs w:val="24"/>
        </w:rPr>
        <w:t>。</w:t>
      </w:r>
    </w:p>
    <w:p>
      <w:pPr>
        <w:snapToGrid w:val="0"/>
        <w:jc w:val="center"/>
        <w:rPr>
          <w:rFonts w:hint="eastAsia" w:ascii="宋体" w:hAnsi="宋体"/>
          <w:sz w:val="24"/>
          <w:szCs w:val="24"/>
        </w:rPr>
      </w:pPr>
      <w:r>
        <w:rPr>
          <w:rFonts w:hint="eastAsia" w:ascii="宋体" w:hAnsi="宋体"/>
          <w:sz w:val="24"/>
          <w:szCs w:val="24"/>
        </w:rPr>
        <w:t>现场服务计划表</w:t>
      </w:r>
      <w:r>
        <w:rPr>
          <w:rFonts w:hint="eastAsia" w:ascii="宋体" w:hAnsi="宋体"/>
          <w:sz w:val="24"/>
          <w:szCs w:val="24"/>
          <w:lang w:eastAsia="zh-CN"/>
        </w:rPr>
        <w:t>（</w:t>
      </w:r>
      <w:r>
        <w:rPr>
          <w:rFonts w:hint="eastAsia" w:ascii="宋体" w:hAnsi="宋体"/>
          <w:sz w:val="24"/>
          <w:szCs w:val="24"/>
        </w:rPr>
        <w:t>格式</w:t>
      </w:r>
      <w:r>
        <w:rPr>
          <w:rFonts w:hint="eastAsia" w:ascii="宋体" w:hAnsi="宋体"/>
          <w:sz w:val="24"/>
          <w:szCs w:val="24"/>
          <w:lang w:eastAsia="zh-CN"/>
        </w:rPr>
        <w:t>）</w:t>
      </w:r>
    </w:p>
    <w:tbl>
      <w:tblPr>
        <w:tblStyle w:val="10"/>
        <w:tblW w:w="0" w:type="auto"/>
        <w:tblInd w:w="80" w:type="dxa"/>
        <w:tblLayout w:type="fixed"/>
        <w:tblCellMar>
          <w:top w:w="0" w:type="dxa"/>
          <w:left w:w="28" w:type="dxa"/>
          <w:bottom w:w="0" w:type="dxa"/>
          <w:right w:w="28" w:type="dxa"/>
        </w:tblCellMar>
      </w:tblPr>
      <w:tblGrid>
        <w:gridCol w:w="1028"/>
        <w:gridCol w:w="3598"/>
        <w:gridCol w:w="2126"/>
        <w:gridCol w:w="1560"/>
      </w:tblGrid>
      <w:tr>
        <w:tblPrEx>
          <w:tblCellMar>
            <w:top w:w="0" w:type="dxa"/>
            <w:left w:w="28" w:type="dxa"/>
            <w:bottom w:w="0" w:type="dxa"/>
            <w:right w:w="28" w:type="dxa"/>
          </w:tblCellMar>
        </w:tblPrEx>
        <w:trPr>
          <w:trHeight w:val="447" w:hRule="atLeast"/>
        </w:trPr>
        <w:tc>
          <w:tcPr>
            <w:tcW w:w="1028" w:type="dxa"/>
            <w:tcBorders>
              <w:top w:val="single" w:color="auto" w:sz="12" w:space="0"/>
              <w:left w:val="single" w:color="auto" w:sz="12" w:space="0"/>
              <w:bottom w:val="single" w:color="auto" w:sz="4" w:space="0"/>
              <w:right w:val="single" w:color="auto" w:sz="6" w:space="0"/>
            </w:tcBorders>
            <w:noWrap w:val="0"/>
            <w:vAlign w:val="center"/>
          </w:tcPr>
          <w:p>
            <w:pPr>
              <w:snapToGrid w:val="0"/>
              <w:jc w:val="center"/>
              <w:rPr>
                <w:rFonts w:ascii="宋体" w:hAnsi="宋体"/>
                <w:sz w:val="24"/>
                <w:szCs w:val="24"/>
              </w:rPr>
            </w:pPr>
            <w:r>
              <w:rPr>
                <w:rFonts w:hint="eastAsia" w:ascii="宋体" w:hAnsi="宋体"/>
                <w:sz w:val="24"/>
                <w:szCs w:val="24"/>
              </w:rPr>
              <w:t>序号</w:t>
            </w:r>
          </w:p>
        </w:tc>
        <w:tc>
          <w:tcPr>
            <w:tcW w:w="3598" w:type="dxa"/>
            <w:tcBorders>
              <w:top w:val="single" w:color="auto" w:sz="12" w:space="0"/>
              <w:left w:val="nil"/>
              <w:bottom w:val="single" w:color="auto" w:sz="4" w:space="0"/>
              <w:right w:val="single" w:color="auto" w:sz="6" w:space="0"/>
            </w:tcBorders>
            <w:noWrap w:val="0"/>
            <w:vAlign w:val="center"/>
          </w:tcPr>
          <w:p>
            <w:pPr>
              <w:snapToGrid w:val="0"/>
              <w:jc w:val="center"/>
              <w:rPr>
                <w:rFonts w:ascii="宋体" w:hAnsi="宋体"/>
                <w:sz w:val="24"/>
                <w:szCs w:val="24"/>
              </w:rPr>
            </w:pPr>
            <w:r>
              <w:rPr>
                <w:rFonts w:hint="eastAsia" w:ascii="宋体" w:hAnsi="宋体"/>
                <w:sz w:val="24"/>
                <w:szCs w:val="24"/>
              </w:rPr>
              <w:t>服务内容</w:t>
            </w:r>
          </w:p>
        </w:tc>
        <w:tc>
          <w:tcPr>
            <w:tcW w:w="2126" w:type="dxa"/>
            <w:tcBorders>
              <w:top w:val="single" w:color="auto" w:sz="12" w:space="0"/>
              <w:left w:val="nil"/>
              <w:bottom w:val="single" w:color="auto" w:sz="4" w:space="0"/>
              <w:right w:val="single" w:color="auto" w:sz="6" w:space="0"/>
            </w:tcBorders>
            <w:noWrap w:val="0"/>
            <w:vAlign w:val="center"/>
          </w:tcPr>
          <w:p>
            <w:pPr>
              <w:snapToGrid w:val="0"/>
              <w:jc w:val="center"/>
              <w:rPr>
                <w:rFonts w:ascii="宋体" w:hAnsi="宋体"/>
                <w:sz w:val="24"/>
                <w:szCs w:val="24"/>
              </w:rPr>
            </w:pPr>
            <w:r>
              <w:rPr>
                <w:rFonts w:hint="eastAsia" w:ascii="宋体" w:hAnsi="宋体"/>
                <w:sz w:val="24"/>
                <w:szCs w:val="24"/>
              </w:rPr>
              <w:t>计划</w:t>
            </w:r>
            <w:r>
              <w:rPr>
                <w:rFonts w:hint="eastAsia" w:ascii="宋体" w:hAnsi="宋体"/>
                <w:sz w:val="24"/>
                <w:szCs w:val="24"/>
                <w:lang w:eastAsia="zh-CN"/>
              </w:rPr>
              <w:t>人数</w:t>
            </w:r>
          </w:p>
        </w:tc>
        <w:tc>
          <w:tcPr>
            <w:tcW w:w="1560" w:type="dxa"/>
            <w:tcBorders>
              <w:top w:val="single" w:color="auto" w:sz="12" w:space="0"/>
              <w:left w:val="nil"/>
              <w:bottom w:val="single" w:color="auto" w:sz="4" w:space="0"/>
              <w:right w:val="single" w:color="auto" w:sz="12" w:space="0"/>
            </w:tcBorders>
            <w:noWrap w:val="0"/>
            <w:vAlign w:val="center"/>
          </w:tcPr>
          <w:p>
            <w:pPr>
              <w:snapToGrid w:val="0"/>
              <w:jc w:val="center"/>
              <w:rPr>
                <w:rFonts w:ascii="宋体" w:hAnsi="宋体"/>
                <w:sz w:val="24"/>
                <w:szCs w:val="24"/>
              </w:rPr>
            </w:pPr>
            <w:r>
              <w:rPr>
                <w:rFonts w:hint="eastAsia" w:ascii="宋体" w:hAnsi="宋体"/>
                <w:sz w:val="24"/>
                <w:szCs w:val="24"/>
              </w:rPr>
              <w:t>备   注</w:t>
            </w:r>
          </w:p>
        </w:tc>
      </w:tr>
      <w:tr>
        <w:tblPrEx>
          <w:tblCellMar>
            <w:top w:w="0" w:type="dxa"/>
            <w:left w:w="28" w:type="dxa"/>
            <w:bottom w:w="0" w:type="dxa"/>
            <w:right w:w="28" w:type="dxa"/>
          </w:tblCellMar>
        </w:tblPrEx>
        <w:tc>
          <w:tcPr>
            <w:tcW w:w="1028"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宋体" w:hAnsi="宋体"/>
                <w:sz w:val="24"/>
                <w:szCs w:val="24"/>
              </w:rPr>
            </w:pPr>
          </w:p>
        </w:tc>
        <w:tc>
          <w:tcPr>
            <w:tcW w:w="3598" w:type="dxa"/>
            <w:tcBorders>
              <w:top w:val="single" w:color="auto" w:sz="6" w:space="0"/>
              <w:left w:val="nil"/>
              <w:bottom w:val="single" w:color="auto" w:sz="12" w:space="0"/>
              <w:right w:val="single" w:color="auto" w:sz="6" w:space="0"/>
            </w:tcBorders>
            <w:noWrap w:val="0"/>
            <w:vAlign w:val="center"/>
          </w:tcPr>
          <w:p>
            <w:pPr>
              <w:snapToGrid w:val="0"/>
              <w:jc w:val="center"/>
              <w:rPr>
                <w:rFonts w:ascii="宋体" w:hAnsi="宋体"/>
                <w:sz w:val="24"/>
                <w:szCs w:val="24"/>
              </w:rPr>
            </w:pPr>
          </w:p>
        </w:tc>
        <w:tc>
          <w:tcPr>
            <w:tcW w:w="2126" w:type="dxa"/>
            <w:tcBorders>
              <w:top w:val="single" w:color="auto" w:sz="6" w:space="0"/>
              <w:left w:val="nil"/>
              <w:bottom w:val="single" w:color="auto" w:sz="12" w:space="0"/>
              <w:right w:val="single" w:color="auto" w:sz="6" w:space="0"/>
            </w:tcBorders>
            <w:noWrap w:val="0"/>
            <w:vAlign w:val="center"/>
          </w:tcPr>
          <w:p>
            <w:pPr>
              <w:snapToGrid w:val="0"/>
              <w:jc w:val="center"/>
              <w:rPr>
                <w:rFonts w:ascii="宋体" w:hAnsi="宋体"/>
                <w:sz w:val="24"/>
                <w:szCs w:val="24"/>
              </w:rPr>
            </w:pPr>
          </w:p>
        </w:tc>
        <w:tc>
          <w:tcPr>
            <w:tcW w:w="1560" w:type="dxa"/>
            <w:tcBorders>
              <w:top w:val="single" w:color="auto" w:sz="6" w:space="0"/>
              <w:left w:val="nil"/>
              <w:bottom w:val="single" w:color="auto" w:sz="12" w:space="0"/>
              <w:right w:val="single" w:color="auto" w:sz="12" w:space="0"/>
            </w:tcBorders>
            <w:noWrap w:val="0"/>
            <w:vAlign w:val="center"/>
          </w:tcPr>
          <w:p>
            <w:pPr>
              <w:snapToGrid w:val="0"/>
              <w:jc w:val="center"/>
              <w:rPr>
                <w:rFonts w:ascii="宋体" w:hAnsi="宋体"/>
                <w:sz w:val="24"/>
                <w:szCs w:val="24"/>
              </w:rPr>
            </w:pPr>
          </w:p>
        </w:tc>
      </w:tr>
    </w:tbl>
    <w:p>
      <w:pPr>
        <w:pStyle w:val="2"/>
        <w:spacing w:before="120" w:line="240" w:lineRule="auto"/>
        <w:rPr>
          <w:rFonts w:hint="eastAsia" w:ascii="仿宋_GB2312" w:hAnsi="楷体" w:eastAsia="仿宋_GB2312"/>
        </w:rPr>
      </w:pPr>
      <w:bookmarkStart w:id="8" w:name="_Toc4073"/>
      <w:r>
        <w:rPr>
          <w:rFonts w:hint="eastAsia" w:ascii="仿宋_GB2312" w:hAnsi="楷体" w:eastAsia="仿宋_GB2312"/>
        </w:rPr>
        <w:t>包装、运输、储存、回收</w:t>
      </w:r>
      <w:bookmarkEnd w:id="8"/>
    </w:p>
    <w:p>
      <w:pPr>
        <w:numPr>
          <w:ilvl w:val="0"/>
          <w:numId w:val="12"/>
        </w:numPr>
        <w:jc w:val="left"/>
        <w:rPr>
          <w:rFonts w:hint="eastAsia" w:ascii="仿宋_GB2312" w:hAnsi="宋体" w:eastAsia="仿宋_GB2312"/>
          <w:sz w:val="24"/>
        </w:rPr>
      </w:pPr>
      <w:r>
        <w:rPr>
          <w:rFonts w:hint="eastAsia" w:ascii="仿宋_GB2312" w:hAnsi="宋体" w:eastAsia="仿宋_GB2312"/>
          <w:sz w:val="24"/>
        </w:rPr>
        <w:t>投标方材料在运输时应得到切实的保护，以免散失损坏或被盗。</w:t>
      </w:r>
    </w:p>
    <w:p>
      <w:pPr>
        <w:numPr>
          <w:ilvl w:val="0"/>
          <w:numId w:val="12"/>
        </w:numPr>
        <w:ind w:left="0" w:firstLine="0"/>
        <w:jc w:val="left"/>
        <w:rPr>
          <w:rFonts w:hint="eastAsia" w:ascii="仿宋_GB2312" w:hAnsi="宋体" w:eastAsia="仿宋_GB2312"/>
          <w:sz w:val="24"/>
        </w:rPr>
      </w:pPr>
      <w:r>
        <w:rPr>
          <w:rFonts w:hint="eastAsia" w:ascii="仿宋_GB2312" w:hAnsi="宋体" w:eastAsia="仿宋_GB2312"/>
          <w:sz w:val="24"/>
        </w:rPr>
        <w:t>储存在阴凉干爽的地方，防止高温、日晒，远离火源，库房及施工范围内严禁吸烟。</w:t>
      </w:r>
    </w:p>
    <w:p>
      <w:pPr>
        <w:numPr>
          <w:ilvl w:val="0"/>
          <w:numId w:val="12"/>
        </w:numPr>
        <w:ind w:left="0" w:firstLine="0"/>
        <w:jc w:val="left"/>
        <w:rPr>
          <w:rFonts w:hint="eastAsia" w:ascii="仿宋_GB2312" w:hAnsi="宋体" w:eastAsia="仿宋_GB2312"/>
          <w:sz w:val="24"/>
        </w:rPr>
      </w:pPr>
      <w:r>
        <w:rPr>
          <w:rFonts w:hint="eastAsia" w:ascii="仿宋_GB2312" w:hAnsi="宋体" w:eastAsia="仿宋_GB2312"/>
          <w:sz w:val="24"/>
        </w:rPr>
        <w:t>投标方</w:t>
      </w:r>
      <w:r>
        <w:rPr>
          <w:rFonts w:hint="eastAsia" w:ascii="仿宋_GB2312" w:hAnsi="宋体" w:eastAsia="仿宋_GB2312"/>
          <w:sz w:val="24"/>
          <w:lang w:eastAsia="zh-CN"/>
        </w:rPr>
        <w:t>施工过程中产生的危险废物，</w:t>
      </w:r>
      <w:r>
        <w:rPr>
          <w:rFonts w:hint="eastAsia" w:ascii="仿宋_GB2312" w:hAnsi="宋体" w:eastAsia="仿宋_GB2312"/>
          <w:sz w:val="24"/>
          <w:lang w:val="en-US" w:eastAsia="zh-CN"/>
        </w:rPr>
        <w:t>不</w:t>
      </w:r>
      <w:r>
        <w:rPr>
          <w:rFonts w:hint="eastAsia" w:ascii="仿宋_GB2312" w:hAnsi="宋体" w:eastAsia="仿宋_GB2312"/>
          <w:sz w:val="24"/>
          <w:lang w:eastAsia="zh-CN"/>
        </w:rPr>
        <w:t>设置临时堆放点。</w:t>
      </w:r>
    </w:p>
    <w:p>
      <w:pPr>
        <w:numPr>
          <w:ilvl w:val="0"/>
          <w:numId w:val="12"/>
        </w:numPr>
        <w:ind w:left="0" w:firstLine="0"/>
        <w:jc w:val="left"/>
        <w:rPr>
          <w:rFonts w:hint="eastAsia" w:ascii="仿宋_GB2312" w:hAnsi="宋体" w:eastAsia="仿宋_GB2312"/>
          <w:sz w:val="24"/>
        </w:rPr>
      </w:pPr>
      <w:r>
        <w:rPr>
          <w:rFonts w:hint="eastAsia" w:ascii="仿宋_GB2312" w:hAnsi="宋体" w:eastAsia="仿宋_GB2312"/>
          <w:sz w:val="24"/>
          <w:lang w:eastAsia="zh-CN"/>
        </w:rPr>
        <w:t>投标方</w:t>
      </w:r>
      <w:r>
        <w:rPr>
          <w:rFonts w:hint="eastAsia" w:ascii="仿宋_GB2312" w:hAnsi="宋体" w:eastAsia="仿宋_GB2312"/>
          <w:sz w:val="24"/>
          <w:lang w:val="en-US" w:eastAsia="zh-CN"/>
        </w:rPr>
        <w:t>产生的</w:t>
      </w:r>
      <w:r>
        <w:rPr>
          <w:rFonts w:hint="eastAsia" w:ascii="仿宋_GB2312" w:hAnsi="宋体" w:eastAsia="仿宋_GB2312"/>
          <w:sz w:val="24"/>
          <w:lang w:eastAsia="zh-CN"/>
        </w:rPr>
        <w:t>危险废物，应</w:t>
      </w:r>
      <w:r>
        <w:rPr>
          <w:rFonts w:hint="eastAsia" w:ascii="仿宋_GB2312" w:hAnsi="宋体" w:eastAsia="仿宋_GB2312"/>
          <w:sz w:val="24"/>
        </w:rPr>
        <w:t>按环保</w:t>
      </w:r>
      <w:r>
        <w:rPr>
          <w:rFonts w:ascii="仿宋_GB2312" w:hAnsi="宋体" w:eastAsia="仿宋_GB2312"/>
          <w:sz w:val="24"/>
        </w:rPr>
        <w:t>要求</w:t>
      </w:r>
      <w:r>
        <w:rPr>
          <w:rFonts w:hint="eastAsia" w:ascii="仿宋_GB2312" w:hAnsi="宋体" w:eastAsia="仿宋_GB2312"/>
          <w:sz w:val="24"/>
          <w:lang w:eastAsia="zh-CN"/>
        </w:rPr>
        <w:t>及相关法规及时安排运出招标方厂区并交由有危废处理资质单位妥善处理，</w:t>
      </w:r>
      <w:r>
        <w:rPr>
          <w:rFonts w:hint="eastAsia" w:ascii="仿宋_GB2312" w:hAnsi="宋体" w:eastAsia="仿宋_GB2312"/>
          <w:sz w:val="24"/>
          <w:lang w:val="en-US" w:eastAsia="zh-CN"/>
        </w:rPr>
        <w:t>其</w:t>
      </w:r>
      <w:r>
        <w:rPr>
          <w:rFonts w:hint="eastAsia" w:ascii="仿宋_GB2312" w:hAnsi="宋体" w:eastAsia="仿宋_GB2312"/>
          <w:sz w:val="24"/>
          <w:lang w:eastAsia="zh-CN"/>
        </w:rPr>
        <w:t>危废处理资质</w:t>
      </w:r>
      <w:r>
        <w:rPr>
          <w:rFonts w:hint="eastAsia" w:ascii="仿宋_GB2312" w:hAnsi="宋体" w:eastAsia="仿宋_GB2312"/>
          <w:sz w:val="24"/>
          <w:lang w:val="en-US" w:eastAsia="zh-CN"/>
        </w:rPr>
        <w:t>需经由招标方进行确认</w:t>
      </w:r>
      <w:r>
        <w:rPr>
          <w:rFonts w:hint="eastAsia" w:ascii="仿宋_GB2312" w:hAnsi="宋体" w:eastAsia="仿宋_GB2312"/>
          <w:sz w:val="24"/>
          <w:lang w:eastAsia="zh-CN"/>
        </w:rPr>
        <w:t>。</w:t>
      </w:r>
    </w:p>
    <w:p>
      <w:pPr>
        <w:numPr>
          <w:ilvl w:val="0"/>
          <w:numId w:val="12"/>
        </w:numPr>
        <w:ind w:left="0" w:firstLine="0"/>
        <w:jc w:val="left"/>
        <w:rPr>
          <w:rFonts w:hint="eastAsia" w:ascii="仿宋_GB2312" w:hAnsi="宋体" w:eastAsia="仿宋_GB2312"/>
          <w:sz w:val="24"/>
        </w:rPr>
      </w:pPr>
      <w:r>
        <w:rPr>
          <w:rFonts w:hint="eastAsia" w:ascii="仿宋_GB2312" w:hAnsi="宋体" w:eastAsia="仿宋_GB2312"/>
          <w:sz w:val="24"/>
        </w:rPr>
        <w:t>工程完成后，</w:t>
      </w:r>
      <w:r>
        <w:rPr>
          <w:rFonts w:hint="eastAsia" w:ascii="仿宋_GB2312" w:hAnsi="宋体" w:eastAsia="仿宋_GB2312"/>
          <w:sz w:val="24"/>
          <w:lang w:val="en-US" w:eastAsia="zh-CN"/>
        </w:rPr>
        <w:t>招标方场地范围内不得有</w:t>
      </w:r>
      <w:r>
        <w:rPr>
          <w:rFonts w:hint="eastAsia" w:ascii="仿宋_GB2312" w:hAnsi="宋体" w:eastAsia="仿宋_GB2312"/>
          <w:sz w:val="24"/>
        </w:rPr>
        <w:t>投标方施工过程产生的危险废弃物</w:t>
      </w:r>
      <w:r>
        <w:rPr>
          <w:rFonts w:hint="eastAsia" w:ascii="仿宋_GB2312" w:hAnsi="宋体" w:eastAsia="仿宋_GB2312"/>
          <w:sz w:val="24"/>
          <w:lang w:eastAsia="zh-CN"/>
        </w:rPr>
        <w:t>遗留</w:t>
      </w:r>
      <w:r>
        <w:rPr>
          <w:rFonts w:hint="eastAsia" w:ascii="仿宋_GB2312" w:hAnsi="宋体" w:eastAsia="仿宋_GB2312"/>
          <w:sz w:val="24"/>
        </w:rPr>
        <w:t>。</w:t>
      </w:r>
    </w:p>
    <w:p>
      <w:pPr>
        <w:numPr>
          <w:ilvl w:val="0"/>
          <w:numId w:val="12"/>
        </w:numPr>
        <w:ind w:left="0" w:firstLine="0"/>
        <w:jc w:val="left"/>
        <w:rPr>
          <w:rFonts w:hint="eastAsia" w:ascii="仿宋_GB2312" w:hAnsi="宋体" w:eastAsia="仿宋_GB2312"/>
          <w:sz w:val="24"/>
        </w:rPr>
      </w:pPr>
      <w:r>
        <w:rPr>
          <w:rFonts w:hint="eastAsia" w:ascii="仿宋_GB2312" w:hAnsi="宋体" w:eastAsia="仿宋_GB2312"/>
          <w:sz w:val="24"/>
          <w:lang w:val="en-US" w:eastAsia="zh-CN"/>
        </w:rPr>
        <w:t>因投标方危废造成的任何环保事件责任与招标方无关。</w:t>
      </w:r>
    </w:p>
    <w:p>
      <w:pPr>
        <w:numPr>
          <w:ilvl w:val="0"/>
          <w:numId w:val="0"/>
        </w:numPr>
        <w:ind w:leftChars="0"/>
        <w:jc w:val="left"/>
        <w:rPr>
          <w:rFonts w:hint="eastAsia" w:ascii="仿宋_GB2312" w:hAnsi="宋体" w:eastAsia="仿宋_GB2312"/>
          <w:sz w:val="24"/>
        </w:rPr>
      </w:pPr>
    </w:p>
    <w:p>
      <w:pPr>
        <w:pStyle w:val="2"/>
        <w:numPr>
          <w:ilvl w:val="0"/>
          <w:numId w:val="0"/>
        </w:numPr>
        <w:rPr>
          <w:rFonts w:hint="eastAsia" w:ascii="仿宋_GB2312" w:hAnsi="楷体" w:eastAsia="仿宋_GB2312"/>
        </w:rPr>
      </w:pPr>
      <w:r>
        <w:rPr>
          <w:rFonts w:hint="eastAsia" w:ascii="仿宋_GB2312" w:hAnsi="宋体" w:eastAsia="仿宋_GB2312"/>
          <w:b w:val="0"/>
          <w:bCs w:val="0"/>
        </w:rPr>
        <w:br w:type="page"/>
      </w:r>
      <w:bookmarkStart w:id="9" w:name="_Toc28302"/>
      <w:r>
        <w:rPr>
          <w:rFonts w:hint="eastAsia" w:ascii="仿宋_GB2312" w:hAnsi="楷体" w:eastAsia="仿宋_GB2312"/>
        </w:rPr>
        <w:t>附件1：防腐材料、工具清单</w:t>
      </w:r>
      <w:bookmarkEnd w:id="9"/>
    </w:p>
    <w:p>
      <w:pPr>
        <w:rPr>
          <w:rFonts w:hint="eastAsia" w:ascii="仿宋_GB2312" w:eastAsia="仿宋_GB2312"/>
          <w:b/>
          <w:bCs/>
        </w:rPr>
      </w:pPr>
      <w:r>
        <w:rPr>
          <w:rFonts w:hint="eastAsia" w:ascii="仿宋_GB2312" w:eastAsia="仿宋_GB2312"/>
          <w:b/>
          <w:bCs/>
        </w:rPr>
        <w:t>1、 防腐涂料及材料（投标人填写）</w:t>
      </w:r>
    </w:p>
    <w:tbl>
      <w:tblPr>
        <w:tblStyle w:val="10"/>
        <w:tblW w:w="0" w:type="auto"/>
        <w:tblInd w:w="108" w:type="dxa"/>
        <w:tblLayout w:type="fixed"/>
        <w:tblCellMar>
          <w:top w:w="0" w:type="dxa"/>
          <w:left w:w="108" w:type="dxa"/>
          <w:bottom w:w="0" w:type="dxa"/>
          <w:right w:w="108" w:type="dxa"/>
        </w:tblCellMar>
      </w:tblPr>
      <w:tblGrid>
        <w:gridCol w:w="719"/>
        <w:gridCol w:w="2286"/>
        <w:gridCol w:w="1815"/>
        <w:gridCol w:w="850"/>
        <w:gridCol w:w="851"/>
        <w:gridCol w:w="1843"/>
      </w:tblGrid>
      <w:tr>
        <w:tblPrEx>
          <w:tblCellMar>
            <w:top w:w="0" w:type="dxa"/>
            <w:left w:w="108" w:type="dxa"/>
            <w:bottom w:w="0" w:type="dxa"/>
            <w:right w:w="108" w:type="dxa"/>
          </w:tblCellMar>
        </w:tblPrEx>
        <w:trPr>
          <w:cantSplit/>
          <w:trHeight w:val="40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序号</w:t>
            </w:r>
          </w:p>
        </w:tc>
        <w:tc>
          <w:tcPr>
            <w:tcW w:w="228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名  称</w:t>
            </w:r>
          </w:p>
        </w:tc>
        <w:tc>
          <w:tcPr>
            <w:tcW w:w="181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规格型号</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单位</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数量</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rPr>
              <w:t>备     注</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1</w:t>
            </w:r>
          </w:p>
        </w:tc>
        <w:tc>
          <w:tcPr>
            <w:tcW w:w="2286" w:type="dxa"/>
            <w:tcBorders>
              <w:top w:val="single" w:color="auto" w:sz="4" w:space="0"/>
              <w:left w:val="nil"/>
              <w:bottom w:val="single" w:color="auto" w:sz="4" w:space="0"/>
              <w:right w:val="single" w:color="auto" w:sz="4" w:space="0"/>
            </w:tcBorders>
            <w:noWrap w:val="0"/>
            <w:vAlign w:val="top"/>
          </w:tcPr>
          <w:p>
            <w:pPr>
              <w:pStyle w:val="5"/>
              <w:spacing w:line="240" w:lineRule="auto"/>
              <w:ind w:firstLine="0" w:firstLineChars="0"/>
              <w:jc w:val="both"/>
              <w:rPr>
                <w:rFonts w:hint="eastAsia" w:ascii="仿宋_GB2312" w:eastAsia="仿宋_GB2312" w:cs="宋体"/>
                <w:kern w:val="0"/>
              </w:rPr>
            </w:pPr>
            <w:r>
              <w:rPr>
                <w:rFonts w:hint="eastAsia" w:ascii="仿宋_GB2312" w:hAnsi="宋体" w:eastAsia="仿宋_GB2312"/>
                <w:sz w:val="21"/>
                <w:szCs w:val="21"/>
                <w:highlight w:val="none"/>
              </w:rPr>
              <w:t>铁红渗透型带锈防锈底漆（双组份）</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2</w:t>
            </w:r>
          </w:p>
        </w:tc>
        <w:tc>
          <w:tcPr>
            <w:tcW w:w="2286" w:type="dxa"/>
            <w:tcBorders>
              <w:top w:val="single" w:color="auto" w:sz="4" w:space="0"/>
              <w:left w:val="nil"/>
              <w:bottom w:val="single" w:color="auto" w:sz="4" w:space="0"/>
              <w:right w:val="single" w:color="auto" w:sz="4" w:space="0"/>
            </w:tcBorders>
            <w:noWrap w:val="0"/>
            <w:vAlign w:val="top"/>
          </w:tcPr>
          <w:p>
            <w:pPr>
              <w:pStyle w:val="5"/>
              <w:spacing w:line="240" w:lineRule="auto"/>
              <w:ind w:firstLine="0" w:firstLineChars="0"/>
              <w:jc w:val="both"/>
              <w:rPr>
                <w:rFonts w:hint="eastAsia" w:ascii="仿宋_GB2312" w:eastAsia="仿宋_GB2312" w:cs="宋体"/>
                <w:kern w:val="0"/>
              </w:rPr>
            </w:pPr>
            <w:r>
              <w:rPr>
                <w:rFonts w:hint="eastAsia" w:ascii="仿宋_GB2312" w:hAnsi="宋体" w:eastAsia="仿宋_GB2312"/>
                <w:sz w:val="21"/>
                <w:szCs w:val="21"/>
                <w:highlight w:val="none"/>
              </w:rPr>
              <w:t>云铁环氧中间漆（双组分）</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3</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4</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r>
      <w:tr>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r>
    </w:tbl>
    <w:p>
      <w:pPr>
        <w:rPr>
          <w:rFonts w:hint="eastAsia" w:ascii="仿宋_GB2312" w:hAnsi="Arial" w:eastAsia="仿宋_GB2312" w:cs="Arial"/>
          <w:kern w:val="0"/>
          <w:sz w:val="24"/>
          <w:szCs w:val="24"/>
        </w:rPr>
      </w:pPr>
    </w:p>
    <w:p>
      <w:pPr>
        <w:rPr>
          <w:rFonts w:hint="eastAsia" w:ascii="仿宋_GB2312" w:hAnsi="Arial" w:eastAsia="仿宋_GB2312" w:cs="Arial"/>
          <w:b/>
          <w:kern w:val="0"/>
          <w:sz w:val="24"/>
          <w:szCs w:val="24"/>
        </w:rPr>
      </w:pPr>
      <w:r>
        <w:rPr>
          <w:rFonts w:hint="eastAsia" w:ascii="仿宋_GB2312" w:hAnsi="Arial" w:eastAsia="仿宋_GB2312" w:cs="Arial"/>
          <w:b/>
          <w:kern w:val="0"/>
          <w:sz w:val="24"/>
          <w:szCs w:val="24"/>
        </w:rPr>
        <w:t>2、工器具及材料（投标人填写）</w:t>
      </w:r>
    </w:p>
    <w:tbl>
      <w:tblPr>
        <w:tblStyle w:val="10"/>
        <w:tblW w:w="0" w:type="auto"/>
        <w:tblInd w:w="108" w:type="dxa"/>
        <w:tblLayout w:type="fixed"/>
        <w:tblCellMar>
          <w:top w:w="0" w:type="dxa"/>
          <w:left w:w="108" w:type="dxa"/>
          <w:bottom w:w="0" w:type="dxa"/>
          <w:right w:w="108" w:type="dxa"/>
        </w:tblCellMar>
      </w:tblPr>
      <w:tblGrid>
        <w:gridCol w:w="719"/>
        <w:gridCol w:w="2286"/>
        <w:gridCol w:w="1815"/>
        <w:gridCol w:w="850"/>
        <w:gridCol w:w="851"/>
        <w:gridCol w:w="1843"/>
      </w:tblGrid>
      <w:tr>
        <w:trPr>
          <w:cantSplit/>
          <w:trHeight w:val="40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序号</w:t>
            </w:r>
          </w:p>
        </w:tc>
        <w:tc>
          <w:tcPr>
            <w:tcW w:w="228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名  称</w:t>
            </w:r>
          </w:p>
        </w:tc>
        <w:tc>
          <w:tcPr>
            <w:tcW w:w="181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规格型号</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单位</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kern w:val="0"/>
              </w:rPr>
              <w:t>数量</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rPr>
            </w:pPr>
            <w:r>
              <w:rPr>
                <w:rFonts w:hint="eastAsia" w:ascii="仿宋_GB2312" w:hAnsi="Arial" w:eastAsia="仿宋_GB2312" w:cs="Arial"/>
              </w:rPr>
              <w:t>备     注</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1</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涂层测厚仪</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1</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2</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湿度计</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1</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3</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喷砂机</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XX品牌</w:t>
            </w:r>
          </w:p>
        </w:tc>
      </w:tr>
      <w:tr>
        <w:tblPrEx>
          <w:tblCellMar>
            <w:top w:w="0" w:type="dxa"/>
            <w:left w:w="108" w:type="dxa"/>
            <w:bottom w:w="0" w:type="dxa"/>
            <w:right w:w="108" w:type="dxa"/>
          </w:tblCellMar>
        </w:tblPrEx>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4</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喷砂材料</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r>
              <w:rPr>
                <w:rFonts w:hint="eastAsia" w:ascii="仿宋_GB2312" w:eastAsia="仿宋_GB2312" w:cs="宋体"/>
                <w:kern w:val="0"/>
              </w:rPr>
              <w:t>公斤</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r>
      <w:tr>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5</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磨光机</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XXX</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X</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宋体"/>
                <w:kern w:val="0"/>
              </w:rPr>
            </w:pPr>
            <w:r>
              <w:rPr>
                <w:rFonts w:hint="eastAsia" w:ascii="仿宋_GB2312" w:eastAsia="仿宋_GB2312" w:cs="宋体"/>
                <w:kern w:val="0"/>
              </w:rPr>
              <w:t>XX品牌</w:t>
            </w:r>
          </w:p>
        </w:tc>
      </w:tr>
      <w:tr>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6</w:t>
            </w: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r>
              <w:rPr>
                <w:rFonts w:hint="eastAsia" w:ascii="仿宋_GB2312" w:eastAsia="仿宋_GB2312" w:cs="宋体"/>
                <w:kern w:val="0"/>
              </w:rPr>
              <w:t>……</w:t>
            </w: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r>
      <w:tr>
        <w:trPr>
          <w:cantSplit/>
          <w:trHeight w:val="28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22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rPr>
            </w:pPr>
          </w:p>
        </w:tc>
        <w:tc>
          <w:tcPr>
            <w:tcW w:w="181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rPr>
            </w:pP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rPr>
            </w:pPr>
          </w:p>
        </w:tc>
      </w:tr>
    </w:tbl>
    <w:p>
      <w:pPr>
        <w:pStyle w:val="2"/>
        <w:numPr>
          <w:ilvl w:val="0"/>
          <w:numId w:val="0"/>
        </w:numPr>
        <w:rPr>
          <w:rFonts w:hint="eastAsia"/>
        </w:rPr>
        <w:sectPr>
          <w:headerReference r:id="rId6" w:type="default"/>
          <w:footerReference r:id="rId7" w:type="default"/>
          <w:footerReference r:id="rId8" w:type="even"/>
          <w:pgSz w:w="11906" w:h="16838"/>
          <w:pgMar w:top="1246" w:right="1800" w:bottom="1440" w:left="1800" w:header="851" w:footer="992" w:gutter="0"/>
          <w:pgNumType w:fmt="decimal"/>
          <w:cols w:space="720" w:num="1"/>
          <w:docGrid w:type="lines" w:linePitch="312" w:charSpace="0"/>
        </w:sectPr>
      </w:pPr>
      <w:bookmarkStart w:id="10" w:name="_Toc6144"/>
      <w:bookmarkEnd w:id="10"/>
      <w:bookmarkStart w:id="11" w:name="_Toc13214"/>
      <w:bookmarkEnd w:id="11"/>
      <w:bookmarkStart w:id="12" w:name="_Toc17196"/>
      <w:bookmarkEnd w:id="12"/>
      <w:bookmarkStart w:id="13" w:name="_Toc14023"/>
      <w:bookmarkEnd w:id="13"/>
      <w:bookmarkStart w:id="14" w:name="_Toc260389831"/>
      <w:bookmarkEnd w:id="14"/>
      <w:bookmarkStart w:id="15" w:name="_Toc18458"/>
      <w:bookmarkEnd w:id="15"/>
      <w:bookmarkStart w:id="16" w:name="_Toc13256"/>
      <w:bookmarkEnd w:id="16"/>
      <w:bookmarkStart w:id="17" w:name="_Toc9282"/>
      <w:bookmarkEnd w:id="17"/>
      <w:bookmarkStart w:id="18" w:name="_Toc420070196"/>
      <w:bookmarkEnd w:id="18"/>
      <w:bookmarkStart w:id="19" w:name="_Toc15610"/>
      <w:bookmarkEnd w:id="19"/>
      <w:bookmarkStart w:id="20" w:name="_Toc1536"/>
      <w:bookmarkEnd w:id="20"/>
      <w:bookmarkStart w:id="21" w:name="_Toc19425"/>
      <w:bookmarkEnd w:id="21"/>
      <w:bookmarkStart w:id="22" w:name="_Toc7382"/>
      <w:bookmarkEnd w:id="22"/>
      <w:bookmarkStart w:id="23" w:name="_Toc452383285"/>
      <w:bookmarkEnd w:id="23"/>
      <w:bookmarkStart w:id="24" w:name="_Toc13294"/>
      <w:bookmarkEnd w:id="24"/>
      <w:bookmarkStart w:id="25" w:name="_Toc420070198"/>
      <w:bookmarkEnd w:id="25"/>
      <w:bookmarkStart w:id="26" w:name="_Toc29494"/>
      <w:bookmarkEnd w:id="26"/>
      <w:bookmarkStart w:id="27" w:name="_Toc2850"/>
      <w:bookmarkEnd w:id="27"/>
      <w:bookmarkStart w:id="28" w:name="_Toc18084"/>
      <w:bookmarkEnd w:id="28"/>
      <w:bookmarkStart w:id="29" w:name="_Toc27125"/>
      <w:bookmarkEnd w:id="29"/>
      <w:bookmarkStart w:id="30" w:name="_Toc13068"/>
      <w:bookmarkEnd w:id="30"/>
      <w:bookmarkStart w:id="31" w:name="_Toc1542"/>
      <w:bookmarkEnd w:id="31"/>
      <w:bookmarkStart w:id="32" w:name="_Toc420070201"/>
      <w:bookmarkEnd w:id="32"/>
      <w:bookmarkStart w:id="33" w:name="_Toc18126"/>
      <w:bookmarkEnd w:id="33"/>
      <w:bookmarkStart w:id="34" w:name="_Toc19898"/>
      <w:bookmarkEnd w:id="34"/>
      <w:bookmarkStart w:id="35" w:name="_Toc28853"/>
      <w:bookmarkEnd w:id="35"/>
      <w:bookmarkStart w:id="36" w:name="_Toc15617"/>
      <w:bookmarkEnd w:id="36"/>
      <w:bookmarkStart w:id="37" w:name="_Toc98816885"/>
      <w:bookmarkEnd w:id="37"/>
      <w:bookmarkStart w:id="38" w:name="_Toc420070200"/>
      <w:bookmarkEnd w:id="38"/>
      <w:bookmarkStart w:id="39" w:name="_Toc25586"/>
      <w:bookmarkEnd w:id="39"/>
      <w:bookmarkStart w:id="40" w:name="_Toc420070202"/>
      <w:bookmarkEnd w:id="40"/>
      <w:bookmarkStart w:id="41" w:name="_Toc22611"/>
      <w:bookmarkEnd w:id="41"/>
      <w:bookmarkStart w:id="42" w:name="_Toc20448"/>
      <w:bookmarkEnd w:id="42"/>
      <w:bookmarkStart w:id="43" w:name="_Toc4485"/>
      <w:bookmarkEnd w:id="43"/>
      <w:bookmarkStart w:id="44" w:name="_Toc29679"/>
      <w:bookmarkEnd w:id="44"/>
      <w:bookmarkStart w:id="45" w:name="_Toc24022"/>
      <w:bookmarkEnd w:id="45"/>
      <w:bookmarkStart w:id="46" w:name="_Toc15235"/>
      <w:bookmarkEnd w:id="46"/>
      <w:bookmarkStart w:id="47" w:name="_Toc24344"/>
      <w:bookmarkEnd w:id="47"/>
      <w:bookmarkStart w:id="48" w:name="_Toc8295"/>
      <w:bookmarkEnd w:id="48"/>
      <w:bookmarkStart w:id="49" w:name="_Toc19602"/>
      <w:bookmarkEnd w:id="49"/>
      <w:bookmarkStart w:id="50" w:name="_Toc12187"/>
      <w:bookmarkEnd w:id="50"/>
      <w:bookmarkStart w:id="51" w:name="_Toc27321"/>
      <w:bookmarkEnd w:id="51"/>
      <w:bookmarkStart w:id="52" w:name="_Toc26907"/>
      <w:bookmarkEnd w:id="52"/>
      <w:bookmarkStart w:id="53" w:name="_Toc22799"/>
      <w:bookmarkEnd w:id="53"/>
      <w:bookmarkStart w:id="54" w:name="_Toc22959"/>
      <w:bookmarkEnd w:id="54"/>
      <w:bookmarkStart w:id="55" w:name="_Toc11076"/>
      <w:bookmarkEnd w:id="55"/>
      <w:bookmarkStart w:id="56" w:name="_Toc10291"/>
      <w:bookmarkEnd w:id="56"/>
      <w:bookmarkStart w:id="57" w:name="_Toc31681"/>
      <w:bookmarkEnd w:id="57"/>
      <w:bookmarkStart w:id="58" w:name="_Toc19845"/>
      <w:bookmarkEnd w:id="58"/>
      <w:bookmarkStart w:id="59" w:name="_Toc24383"/>
      <w:bookmarkEnd w:id="59"/>
      <w:bookmarkStart w:id="60" w:name="_Toc14582"/>
      <w:bookmarkEnd w:id="60"/>
      <w:bookmarkStart w:id="61" w:name="_Toc2399"/>
      <w:bookmarkEnd w:id="61"/>
      <w:bookmarkStart w:id="62" w:name="_Toc2562"/>
      <w:bookmarkEnd w:id="62"/>
      <w:bookmarkStart w:id="63" w:name="_Toc420070199"/>
      <w:bookmarkEnd w:id="63"/>
      <w:bookmarkStart w:id="64" w:name="_Toc27251"/>
      <w:bookmarkEnd w:id="64"/>
      <w:bookmarkStart w:id="65" w:name="_Toc70302700"/>
      <w:bookmarkEnd w:id="65"/>
      <w:bookmarkStart w:id="66" w:name="_Toc26698"/>
      <w:bookmarkEnd w:id="66"/>
      <w:bookmarkStart w:id="67" w:name="_Toc22592"/>
      <w:bookmarkEnd w:id="67"/>
      <w:bookmarkStart w:id="68" w:name="_Toc14416"/>
      <w:bookmarkEnd w:id="68"/>
      <w:bookmarkStart w:id="69" w:name="_Toc17703"/>
      <w:bookmarkEnd w:id="69"/>
      <w:bookmarkStart w:id="70" w:name="_Toc28633"/>
      <w:bookmarkEnd w:id="70"/>
      <w:bookmarkStart w:id="71" w:name="_Toc6151"/>
      <w:bookmarkEnd w:id="71"/>
      <w:bookmarkStart w:id="72" w:name="_Toc27469"/>
      <w:bookmarkEnd w:id="72"/>
      <w:bookmarkStart w:id="73" w:name="_Toc521"/>
      <w:bookmarkEnd w:id="73"/>
      <w:bookmarkStart w:id="74" w:name="_Toc24437"/>
      <w:bookmarkEnd w:id="74"/>
      <w:bookmarkStart w:id="75" w:name="_Toc29708"/>
      <w:bookmarkEnd w:id="75"/>
      <w:bookmarkStart w:id="76" w:name="_Toc14568"/>
      <w:bookmarkEnd w:id="76"/>
      <w:bookmarkStart w:id="77" w:name="_Toc5151"/>
      <w:bookmarkEnd w:id="77"/>
      <w:bookmarkStart w:id="78" w:name="_Toc4567"/>
      <w:bookmarkEnd w:id="78"/>
      <w:bookmarkStart w:id="79" w:name="_Toc22596"/>
      <w:bookmarkEnd w:id="79"/>
      <w:bookmarkStart w:id="80" w:name="_Toc420070197"/>
      <w:bookmarkEnd w:id="80"/>
      <w:bookmarkStart w:id="81" w:name="_Toc16236"/>
      <w:bookmarkEnd w:id="81"/>
      <w:bookmarkStart w:id="82" w:name="_Toc13301"/>
      <w:bookmarkEnd w:id="82"/>
      <w:bookmarkStart w:id="83" w:name="_Toc21040"/>
      <w:bookmarkEnd w:id="83"/>
      <w:bookmarkStart w:id="84" w:name="_Toc4956"/>
      <w:bookmarkEnd w:id="84"/>
      <w:bookmarkStart w:id="85" w:name="_Toc19702"/>
      <w:bookmarkEnd w:id="85"/>
      <w:bookmarkStart w:id="86" w:name="_Toc2919"/>
      <w:bookmarkEnd w:id="86"/>
      <w:bookmarkStart w:id="87" w:name="_Toc32236"/>
      <w:bookmarkEnd w:id="87"/>
    </w:p>
    <w:p>
      <w:pPr>
        <w:rPr>
          <w:rFonts w:hint="default" w:ascii="黑体" w:hAnsi="黑体" w:eastAsia="黑体" w:cs="黑体"/>
          <w:b w:val="0"/>
          <w:sz w:val="30"/>
          <w:szCs w:val="30"/>
          <w:lang w:val="en-US" w:eastAsia="zh-CN"/>
        </w:rPr>
      </w:pPr>
      <w:bookmarkStart w:id="88" w:name="_Toc10667"/>
      <w:bookmarkStart w:id="89" w:name="_Toc505335470"/>
      <w:bookmarkStart w:id="90" w:name="_Toc25300"/>
      <w:bookmarkStart w:id="91" w:name="_Toc21258"/>
    </w:p>
    <w:p>
      <w:pPr>
        <w:pStyle w:val="2"/>
        <w:numPr>
          <w:ilvl w:val="0"/>
          <w:numId w:val="0"/>
        </w:numPr>
        <w:tabs>
          <w:tab w:val="left" w:pos="322"/>
        </w:tabs>
        <w:snapToGrid w:val="0"/>
        <w:spacing w:before="120" w:beforeLines="0" w:after="0" w:afterLines="0" w:line="360" w:lineRule="auto"/>
        <w:ind w:left="420" w:leftChars="0"/>
        <w:jc w:val="left"/>
        <w:textAlignment w:val="auto"/>
        <w:outlineLvl w:val="0"/>
        <w:rPr>
          <w:rFonts w:hint="default" w:ascii="黑体" w:hAnsi="黑体" w:eastAsia="黑体" w:cs="黑体"/>
          <w:b w:val="0"/>
          <w:sz w:val="30"/>
          <w:szCs w:val="30"/>
          <w:lang w:val="en-US" w:eastAsia="zh-CN"/>
        </w:rPr>
      </w:pPr>
      <w:bookmarkStart w:id="92" w:name="_Toc10224"/>
      <w:r>
        <w:rPr>
          <w:rFonts w:hint="eastAsia" w:ascii="黑体" w:hAnsi="黑体" w:eastAsia="黑体" w:cs="黑体"/>
          <w:b w:val="0"/>
          <w:sz w:val="30"/>
          <w:szCs w:val="30"/>
          <w:lang w:val="en-US" w:eastAsia="zh-CN"/>
        </w:rPr>
        <w:t>附件2：</w:t>
      </w:r>
      <w:r>
        <w:rPr>
          <w:rFonts w:hint="default" w:ascii="黑体" w:hAnsi="黑体" w:eastAsia="黑体" w:cs="黑体"/>
          <w:b w:val="0"/>
          <w:sz w:val="30"/>
          <w:szCs w:val="30"/>
          <w:lang w:val="en-US" w:eastAsia="zh-CN"/>
        </w:rPr>
        <w:t>检修质量、进度考核实施细则</w:t>
      </w:r>
      <w:bookmarkEnd w:id="88"/>
      <w:bookmarkEnd w:id="89"/>
      <w:bookmarkEnd w:id="90"/>
      <w:bookmarkEnd w:id="91"/>
      <w:bookmarkEnd w:id="92"/>
    </w:p>
    <w:p>
      <w:pPr>
        <w:spacing w:before="156" w:beforeLines="50" w:after="156" w:afterLines="50"/>
        <w:ind w:firstLine="0" w:firstLineChars="0"/>
        <w:jc w:val="center"/>
        <w:rPr>
          <w:rFonts w:ascii="宋体" w:hAnsi="宋体"/>
          <w:b/>
          <w:bCs/>
          <w:color w:val="000000"/>
          <w:sz w:val="36"/>
          <w:szCs w:val="36"/>
        </w:rPr>
      </w:pPr>
      <w:r>
        <w:rPr>
          <w:rFonts w:hint="eastAsia" w:ascii="宋体" w:hAnsi="宋体"/>
          <w:b/>
          <w:bCs/>
          <w:color w:val="000000"/>
          <w:sz w:val="36"/>
          <w:szCs w:val="36"/>
          <w:lang w:val="en-US" w:eastAsia="zh-CN"/>
        </w:rPr>
        <w:t>一、</w:t>
      </w:r>
      <w:r>
        <w:rPr>
          <w:rFonts w:hint="eastAsia" w:ascii="宋体" w:hAnsi="宋体"/>
          <w:b/>
          <w:bCs/>
          <w:color w:val="000000"/>
          <w:sz w:val="36"/>
          <w:szCs w:val="36"/>
        </w:rPr>
        <w:t>检修质量、进度考核实施细则</w:t>
      </w:r>
    </w:p>
    <w:tbl>
      <w:tblPr>
        <w:tblStyle w:val="10"/>
        <w:tblW w:w="0" w:type="auto"/>
        <w:tblInd w:w="0" w:type="dxa"/>
        <w:tblLayout w:type="fixed"/>
        <w:tblCellMar>
          <w:top w:w="0" w:type="dxa"/>
          <w:left w:w="108" w:type="dxa"/>
          <w:bottom w:w="0" w:type="dxa"/>
          <w:right w:w="108" w:type="dxa"/>
        </w:tblCellMar>
      </w:tblPr>
      <w:tblGrid>
        <w:gridCol w:w="883"/>
        <w:gridCol w:w="3040"/>
        <w:gridCol w:w="3288"/>
        <w:gridCol w:w="2736"/>
        <w:gridCol w:w="2014"/>
        <w:gridCol w:w="1983"/>
      </w:tblGrid>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序号</w:t>
            </w:r>
          </w:p>
        </w:tc>
        <w:tc>
          <w:tcPr>
            <w:tcW w:w="30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考核内容</w:t>
            </w:r>
          </w:p>
        </w:tc>
        <w:tc>
          <w:tcPr>
            <w:tcW w:w="328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考核标准</w:t>
            </w:r>
          </w:p>
        </w:tc>
        <w:tc>
          <w:tcPr>
            <w:tcW w:w="273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被考核部门</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部门扣奖</w:t>
            </w:r>
          </w:p>
        </w:tc>
        <w:tc>
          <w:tcPr>
            <w:tcW w:w="1983"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考核部门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修前管理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主要材料、备品未按时到货</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val="en-US" w:eastAsia="zh-CN"/>
              </w:rPr>
            </w:pPr>
            <w:r>
              <w:rPr>
                <w:rFonts w:hint="eastAsia" w:ascii="宋体" w:hAnsi="宋体" w:cs="Arial"/>
                <w:color w:val="000000"/>
                <w:sz w:val="18"/>
                <w:szCs w:val="18"/>
              </w:rPr>
              <w:t>开工前到货验收</w:t>
            </w:r>
            <w:r>
              <w:rPr>
                <w:rFonts w:hint="eastAsia" w:ascii="宋体" w:hAnsi="宋体" w:cs="Arial"/>
                <w:color w:val="000000"/>
                <w:sz w:val="18"/>
                <w:szCs w:val="18"/>
                <w:lang w:val="en-US" w:eastAsia="zh-CN"/>
              </w:rPr>
              <w:t>合格</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产品无“三证”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无“三证”产品不能使用</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未经验收即领用</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领用前必须验收合格</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耐磨件、保温材料</w:t>
            </w:r>
            <w:r>
              <w:rPr>
                <w:rFonts w:hint="eastAsia" w:ascii="宋体" w:hAnsi="宋体" w:cs="Arial"/>
                <w:color w:val="000000"/>
                <w:sz w:val="18"/>
                <w:szCs w:val="18"/>
                <w:lang w:val="en-US" w:eastAsia="zh-CN"/>
              </w:rPr>
              <w:t>等</w:t>
            </w:r>
            <w:r>
              <w:rPr>
                <w:rFonts w:hint="eastAsia" w:ascii="宋体" w:hAnsi="宋体" w:cs="Arial"/>
                <w:color w:val="000000"/>
                <w:sz w:val="18"/>
                <w:szCs w:val="18"/>
              </w:rPr>
              <w:t>未取样化验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必须取样化验合格后方能使用</w:t>
            </w:r>
          </w:p>
        </w:tc>
        <w:tc>
          <w:tcPr>
            <w:tcW w:w="2736" w:type="dxa"/>
            <w:tcBorders>
              <w:top w:val="single" w:color="auto" w:sz="4" w:space="0"/>
              <w:left w:val="nil"/>
              <w:bottom w:val="single" w:color="auto" w:sz="4" w:space="0"/>
              <w:right w:val="single" w:color="auto" w:sz="4" w:space="0"/>
            </w:tcBorders>
            <w:noWrap w:val="0"/>
            <w:vAlign w:val="top"/>
          </w:tcPr>
          <w:p>
            <w:pPr>
              <w:rPr>
                <w:rFonts w:hint="eastAsia" w:ascii="宋体" w:hAnsi="宋体" w:eastAsia="宋体"/>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新材料、新产品使用前未经鉴定批准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使用前必须鉴定并经有关部门批准</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color w:val="000000"/>
                <w:sz w:val="18"/>
                <w:szCs w:val="18"/>
                <w:lang w:val="en-US"/>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工器具未到位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开工</w:t>
            </w:r>
            <w:r>
              <w:rPr>
                <w:rFonts w:hint="eastAsia" w:ascii="宋体" w:hAnsi="宋体" w:cs="Arial"/>
                <w:color w:val="000000"/>
                <w:sz w:val="18"/>
                <w:szCs w:val="18"/>
              </w:rPr>
              <w:t>前应到场</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测量工具未经有关部门标定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必须经有关部门标定，并在有效期内</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专用工具未检查或修理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专用工具在修前必须检查验收合格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起重工具未进行检查验收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安全带未做拉力试验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必须全面检查，并做拉力试验</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电动工具未经检查试验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必须检查试验合格</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val="en-US" w:eastAsia="zh-CN"/>
              </w:rPr>
              <w:t>使用</w:t>
            </w:r>
            <w:r>
              <w:rPr>
                <w:rFonts w:hint="eastAsia" w:ascii="宋体" w:hAnsi="宋体" w:cs="Arial"/>
                <w:color w:val="000000"/>
                <w:sz w:val="18"/>
                <w:szCs w:val="18"/>
              </w:rPr>
              <w:t>锅炉房电梯未做全面检查</w:t>
            </w:r>
            <w:r>
              <w:rPr>
                <w:rFonts w:hint="eastAsia" w:ascii="宋体" w:hAnsi="宋体" w:cs="Arial"/>
                <w:color w:val="000000"/>
                <w:sz w:val="18"/>
                <w:szCs w:val="18"/>
                <w:lang w:eastAsia="zh-CN"/>
              </w:rPr>
              <w:t>、无故不遵守指挥部安排参与电梯轮值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rPr>
              <w:t>必须进行全面检查，能安全可靠运行</w:t>
            </w:r>
            <w:r>
              <w:rPr>
                <w:rFonts w:hint="eastAsia" w:ascii="宋体" w:hAnsi="宋体" w:cs="Arial"/>
                <w:color w:val="000000"/>
                <w:sz w:val="18"/>
                <w:szCs w:val="18"/>
                <w:lang w:eastAsia="zh-CN"/>
              </w:rPr>
              <w:t>；电梯轮值期间，确保值班人员按时到岗，期间不擅自离岗</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损坏一次扣1000元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主要项目、特殊项目、技改项目无施工方案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开工前须审批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未办理进场开工手续</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经各部门审批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项目经理及技术人员未到位</w:t>
            </w:r>
            <w:r>
              <w:rPr>
                <w:rFonts w:hint="eastAsia" w:ascii="宋体" w:hAnsi="宋体" w:cs="Arial"/>
                <w:color w:val="000000"/>
                <w:sz w:val="18"/>
                <w:szCs w:val="18"/>
                <w:lang w:val="en-US" w:eastAsia="zh-CN"/>
              </w:rPr>
              <w:t>或与合同约定不一致</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按合同约定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项目经理非合同约定，或无相应资质，扣1万元；主要技术人员未到位，缺1人扣2000元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施工</w:t>
            </w:r>
            <w:r>
              <w:rPr>
                <w:rFonts w:hint="eastAsia" w:ascii="宋体" w:hAnsi="宋体" w:cs="Arial"/>
                <w:color w:val="000000"/>
                <w:sz w:val="18"/>
                <w:szCs w:val="18"/>
              </w:rPr>
              <w:t>人员不到位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人员应按合同约定到齐</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缺1人，考核500元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未按时进场开工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每迟1天，考核5000元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工作票办理不及时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修中管理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2.1.1</w:t>
            </w:r>
          </w:p>
        </w:tc>
        <w:tc>
          <w:tcPr>
            <w:tcW w:w="3040"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标准、非标、技改、技术监督、反措等项目漏项</w:t>
            </w:r>
          </w:p>
        </w:tc>
        <w:tc>
          <w:tcPr>
            <w:tcW w:w="3288"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以对应的项目计划为准</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质检项目漏项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以项目计划为准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进口设备备品不落实而解体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备品不落实不能解体</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应申办异动申请而未办理或申请未经批准即开工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设备异动前应办理异动申请并经批准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eastAsia="zh-CN"/>
              </w:rPr>
              <w:t>未按标准要求对设备做好成品保护，造成设备损坏或污染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eastAsia="zh-CN"/>
              </w:rPr>
              <w:t>满足检修管理手册以及现场目视化管理要求</w:t>
            </w:r>
            <w:r>
              <w:rPr>
                <w:rFonts w:hint="eastAsia" w:ascii="宋体" w:hAnsi="宋体" w:cs="Arial"/>
                <w:color w:val="000000"/>
                <w:sz w:val="18"/>
                <w:szCs w:val="18"/>
                <w:lang w:val="en-US" w:eastAsia="zh-CN"/>
              </w:rPr>
              <w:t>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lang w:val="en-US" w:eastAsia="zh-CN"/>
              </w:rPr>
              <w:t>赔偿损坏设备，并</w:t>
            </w: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质量管理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违犯作业指导书规定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以规定标准及程序为准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eastAsia="zh-CN"/>
              </w:rPr>
              <w:t>违反</w:t>
            </w:r>
            <w:r>
              <w:rPr>
                <w:rFonts w:hint="eastAsia" w:ascii="宋体" w:hAnsi="宋体" w:cs="Arial"/>
                <w:color w:val="000000"/>
                <w:sz w:val="18"/>
                <w:szCs w:val="18"/>
              </w:rPr>
              <w:t>工艺纪律</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以设备检修工艺纪律为准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每项扣600元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每项扣400元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H点未经验收即进行下道工序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不验收合格不能进行下道工序</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单机试转不合格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分系统试转不合格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发生误停、误动、误操作</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冷态验收硬件不合格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冷态验收软件不合格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再次冷态验收不合格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负责赔偿更换，或</w:t>
            </w:r>
            <w:r>
              <w:rPr>
                <w:rFonts w:hint="eastAsia" w:ascii="宋体" w:hAnsi="宋体" w:cs="Arial"/>
                <w:color w:val="000000"/>
                <w:sz w:val="18"/>
                <w:szCs w:val="18"/>
                <w:lang w:val="en-US" w:eastAsia="zh-CN"/>
              </w:rPr>
              <w:t>赔偿</w:t>
            </w:r>
            <w:r>
              <w:rPr>
                <w:rFonts w:hint="eastAsia" w:ascii="宋体" w:hAnsi="宋体" w:cs="Arial"/>
                <w:color w:val="000000"/>
                <w:sz w:val="18"/>
                <w:szCs w:val="18"/>
              </w:rPr>
              <w:t>由此造成的损失，并考核</w:t>
            </w:r>
            <w:r>
              <w:rPr>
                <w:rFonts w:hint="eastAsia" w:ascii="宋体" w:hAnsi="宋体" w:cs="Arial"/>
                <w:color w:val="000000"/>
                <w:sz w:val="18"/>
                <w:szCs w:val="18"/>
                <w:lang w:eastAsia="zh-CN"/>
              </w:rPr>
              <w:t>0.1万-1万</w:t>
            </w:r>
            <w:r>
              <w:rPr>
                <w:rFonts w:hint="eastAsia" w:ascii="宋体" w:hAnsi="宋体" w:cs="Arial"/>
                <w:color w:val="000000"/>
                <w:sz w:val="18"/>
                <w:szCs w:val="18"/>
              </w:rPr>
              <w:t>元/次</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检修中发生质量事故</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考核</w:t>
            </w:r>
            <w:r>
              <w:rPr>
                <w:rFonts w:hint="eastAsia" w:ascii="宋体" w:hAnsi="宋体" w:cs="Arial"/>
                <w:color w:val="000000"/>
                <w:sz w:val="18"/>
                <w:szCs w:val="18"/>
                <w:lang w:eastAsia="zh-CN"/>
              </w:rPr>
              <w:t>0.5万-5万</w:t>
            </w:r>
            <w:r>
              <w:rPr>
                <w:rFonts w:hint="eastAsia" w:ascii="宋体" w:hAnsi="宋体" w:cs="Arial"/>
                <w:color w:val="000000"/>
                <w:sz w:val="18"/>
                <w:szCs w:val="18"/>
              </w:rPr>
              <w:t>元/次，发生重大质量事故，专项处理</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检修</w:t>
            </w:r>
            <w:r>
              <w:rPr>
                <w:rFonts w:hint="eastAsia" w:ascii="宋体" w:hAnsi="宋体" w:cs="Arial"/>
                <w:color w:val="000000"/>
                <w:sz w:val="18"/>
                <w:szCs w:val="18"/>
              </w:rPr>
              <w:t>协调管理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不按时出席调度会或协调会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不按时出席专业会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交办工作不落实</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专业、部门间发送的工作联系单超过24小时没有回音</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以发送的工作联系单时的时间为准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2.</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检修工期管理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因备品加工及材料供应不及时拖延工期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拖延专业工期一天扣500元，拖延总工期一天扣1000元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工期延误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拖延专业工期一天扣5000元，拖延总工期一天扣10000元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设备不见本色、积灰积油等</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阀门手轮、设备标识、防护设施、介质流向不齐全不完整、不正确</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存在</w:t>
            </w:r>
            <w:r>
              <w:rPr>
                <w:rFonts w:hint="eastAsia" w:ascii="宋体" w:hAnsi="宋体" w:cs="Arial"/>
                <w:color w:val="000000"/>
                <w:sz w:val="18"/>
                <w:szCs w:val="18"/>
              </w:rPr>
              <w:t>设备缺陷或漏点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修后机组启动未成功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以并网及解列为准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一次扣</w:t>
            </w:r>
            <w:r>
              <w:rPr>
                <w:rFonts w:hint="eastAsia" w:ascii="宋体" w:hAnsi="宋体" w:cs="Arial"/>
                <w:color w:val="000000"/>
                <w:sz w:val="18"/>
                <w:szCs w:val="18"/>
                <w:lang w:eastAsia="zh-CN"/>
              </w:rPr>
              <w:t>1万-5万</w:t>
            </w:r>
            <w:r>
              <w:rPr>
                <w:rFonts w:hint="eastAsia" w:ascii="宋体" w:hAnsi="宋体" w:cs="Arial"/>
                <w:color w:val="000000"/>
                <w:sz w:val="18"/>
                <w:szCs w:val="18"/>
              </w:rPr>
              <w:t>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r>
              <w:rPr>
                <w:rFonts w:hint="eastAsia" w:ascii="宋体" w:hAnsi="宋体" w:cs="Arial"/>
                <w:color w:val="000000"/>
                <w:sz w:val="18"/>
                <w:szCs w:val="18"/>
                <w:lang w:val="en-US" w:eastAsia="zh-CN"/>
              </w:rPr>
              <w:t>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首次启动发生泄漏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漏汽、风、油、水等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每项扣200-20000元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发生设备异常及以上事件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承担相应责任及费用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视事件严重程度进行考核5000</w:t>
            </w:r>
            <w:r>
              <w:rPr>
                <w:rFonts w:hint="eastAsia" w:ascii="宋体" w:hAnsi="宋体" w:cs="Arial"/>
                <w:color w:val="000000"/>
                <w:sz w:val="18"/>
                <w:szCs w:val="18"/>
              </w:rPr>
              <w:t>-5</w:t>
            </w:r>
            <w:r>
              <w:rPr>
                <w:rFonts w:hint="eastAsia" w:ascii="宋体" w:hAnsi="宋体" w:cs="Arial"/>
                <w:color w:val="000000"/>
                <w:sz w:val="18"/>
                <w:szCs w:val="18"/>
                <w:lang w:val="en-US" w:eastAsia="zh-CN"/>
              </w:rPr>
              <w:t>0000</w:t>
            </w:r>
            <w:r>
              <w:rPr>
                <w:rFonts w:hint="eastAsia" w:ascii="宋体" w:hAnsi="宋体" w:cs="Arial"/>
                <w:color w:val="000000"/>
                <w:sz w:val="18"/>
                <w:szCs w:val="18"/>
              </w:rPr>
              <w:t>元</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特别严重另行处罚。</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highlight w:val="none"/>
                <w:lang w:val="en-US" w:eastAsia="zh-CN"/>
              </w:rPr>
              <w:t>安全健康环保监察部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质保期内发生缺陷</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修后首次并网后6个月内发生缺陷，责任单位负责处理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每项扣100-10000元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材料备品费用超支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材料备品计划提报有误用不上</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材料、备品料单混乱与项目成本科目不符合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未经生产技术管理部门相关专业同意擅自更换备品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领用的材料备品保管不当或损坏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资料整理及移交</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val="en-US" w:eastAsia="zh-CN"/>
              </w:rPr>
              <w:t>时、标准、按合同</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未交检修资料，考核2万元，同时可拒绝支付保证金；推迟交付，考核500元/天。</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bl>
    <w:p>
      <w:pPr>
        <w:rPr>
          <w:rFonts w:hint="default" w:eastAsia="宋体"/>
          <w:lang w:val="en-US" w:eastAsia="zh-CN"/>
        </w:rPr>
      </w:pPr>
      <w:r>
        <w:rPr>
          <w:rFonts w:hint="eastAsia"/>
          <w:lang w:val="en-US" w:eastAsia="zh-CN"/>
        </w:rPr>
        <w:t>注：上表考核若与技术协议（规范书）专项考核条款不一致，则以专项考核条款为准。</w:t>
      </w:r>
    </w:p>
    <w:p/>
    <w:p/>
    <w:p/>
    <w:p>
      <w:pPr>
        <w:jc w:val="center"/>
        <w:rPr>
          <w:rFonts w:hint="eastAsia" w:ascii="黑体" w:hAnsi="黑体" w:eastAsia="黑体" w:cs="黑体"/>
          <w:sz w:val="32"/>
          <w:szCs w:val="32"/>
          <w:lang w:eastAsia="zh-CN"/>
        </w:rPr>
      </w:pPr>
      <w:r>
        <w:br w:type="page"/>
      </w:r>
      <w:r>
        <w:rPr>
          <w:rFonts w:hint="eastAsia" w:ascii="宋体" w:hAnsi="宋体"/>
          <w:b/>
          <w:bCs/>
          <w:color w:val="000000"/>
          <w:sz w:val="36"/>
          <w:szCs w:val="36"/>
        </w:rPr>
        <w:t>检修</w:t>
      </w:r>
      <w:r>
        <w:rPr>
          <w:rFonts w:hint="eastAsia" w:ascii="宋体" w:hAnsi="宋体"/>
          <w:b/>
          <w:bCs/>
          <w:color w:val="000000"/>
          <w:sz w:val="36"/>
          <w:szCs w:val="36"/>
          <w:lang w:val="en-US" w:eastAsia="zh-CN"/>
        </w:rPr>
        <w:t>安全健康环保</w:t>
      </w:r>
      <w:r>
        <w:rPr>
          <w:rFonts w:hint="eastAsia" w:ascii="宋体" w:hAnsi="宋体"/>
          <w:b/>
          <w:bCs/>
          <w:color w:val="000000"/>
          <w:sz w:val="36"/>
          <w:szCs w:val="36"/>
        </w:rPr>
        <w:t>考核实施细则</w:t>
      </w:r>
    </w:p>
    <w:p>
      <w:pPr>
        <w:widowControl/>
        <w:jc w:val="center"/>
        <w:rPr>
          <w:rFonts w:hint="eastAsia" w:ascii="宋体" w:hAnsi="宋体"/>
          <w:b w:val="0"/>
          <w:kern w:val="0"/>
          <w:sz w:val="22"/>
          <w:szCs w:val="22"/>
        </w:rPr>
      </w:pPr>
      <w:r>
        <w:rPr>
          <w:rFonts w:hint="eastAsia" w:ascii="宋体" w:hAnsi="宋体" w:eastAsia="宋体" w:cs="宋体"/>
          <w:b w:val="0"/>
          <w:bCs w:val="0"/>
          <w:snapToGrid/>
          <w:kern w:val="0"/>
          <w:sz w:val="22"/>
          <w:szCs w:val="22"/>
          <w:lang w:eastAsia="zh-CN"/>
        </w:rPr>
        <w:t>（</w:t>
      </w:r>
      <w:r>
        <w:rPr>
          <w:rFonts w:hint="eastAsia" w:ascii="宋体" w:hAnsi="宋体"/>
          <w:b w:val="0"/>
          <w:bCs w:val="0"/>
          <w:snapToGrid/>
          <w:color w:val="auto"/>
          <w:kern w:val="0"/>
          <w:sz w:val="22"/>
          <w:szCs w:val="22"/>
          <w:lang w:val="en-US" w:eastAsia="zh-CN"/>
        </w:rPr>
        <w:t>摘自《设备检修安全管理标准》《安全环保奖惩管理标准》，包括但不限于以下条款</w:t>
      </w:r>
      <w:r>
        <w:rPr>
          <w:rFonts w:hint="eastAsia" w:ascii="宋体" w:hAnsi="宋体" w:cs="宋体"/>
          <w:b w:val="0"/>
          <w:bCs w:val="0"/>
          <w:color w:val="auto"/>
          <w:kern w:val="0"/>
          <w:sz w:val="22"/>
          <w:szCs w:val="22"/>
          <w:lang w:val="en-US" w:eastAsia="zh-CN"/>
        </w:rPr>
        <w:t>）</w:t>
      </w:r>
    </w:p>
    <w:p>
      <w:pPr>
        <w:jc w:val="center"/>
        <w:rPr>
          <w:rFonts w:hint="eastAsia"/>
          <w:b/>
          <w:sz w:val="24"/>
        </w:rPr>
      </w:pPr>
    </w:p>
    <w:tbl>
      <w:tblPr>
        <w:tblStyle w:val="10"/>
        <w:tblW w:w="1437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0"/>
        <w:gridCol w:w="2766"/>
        <w:gridCol w:w="1590"/>
        <w:gridCol w:w="201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noWrap w:val="0"/>
            <w:vAlign w:val="center"/>
          </w:tcPr>
          <w:p>
            <w:pPr>
              <w:jc w:val="center"/>
              <w:rPr>
                <w:rFonts w:ascii="宋体" w:hAnsi="宋体" w:cs="宋体"/>
                <w:b/>
                <w:bCs/>
                <w:sz w:val="22"/>
                <w:szCs w:val="22"/>
              </w:rPr>
            </w:pPr>
            <w:r>
              <w:rPr>
                <w:rFonts w:hint="eastAsia"/>
                <w:b/>
                <w:bCs/>
                <w:sz w:val="22"/>
                <w:szCs w:val="22"/>
              </w:rPr>
              <w:t>序号</w:t>
            </w:r>
          </w:p>
        </w:tc>
        <w:tc>
          <w:tcPr>
            <w:tcW w:w="5400" w:type="dxa"/>
            <w:noWrap w:val="0"/>
            <w:vAlign w:val="center"/>
          </w:tcPr>
          <w:p>
            <w:pPr>
              <w:jc w:val="center"/>
              <w:rPr>
                <w:rFonts w:ascii="宋体" w:hAnsi="宋体" w:cs="宋体"/>
                <w:b/>
                <w:bCs/>
                <w:sz w:val="22"/>
                <w:szCs w:val="22"/>
              </w:rPr>
            </w:pPr>
            <w:r>
              <w:rPr>
                <w:rFonts w:hint="eastAsia"/>
                <w:b/>
                <w:bCs/>
                <w:sz w:val="22"/>
                <w:szCs w:val="22"/>
              </w:rPr>
              <w:t>考核内容</w:t>
            </w:r>
          </w:p>
        </w:tc>
        <w:tc>
          <w:tcPr>
            <w:tcW w:w="2766" w:type="dxa"/>
            <w:noWrap w:val="0"/>
            <w:vAlign w:val="center"/>
          </w:tcPr>
          <w:p>
            <w:pPr>
              <w:jc w:val="center"/>
              <w:rPr>
                <w:rFonts w:ascii="宋体" w:hAnsi="宋体" w:cs="宋体"/>
                <w:b/>
                <w:bCs/>
                <w:sz w:val="22"/>
                <w:szCs w:val="22"/>
              </w:rPr>
            </w:pPr>
            <w:r>
              <w:rPr>
                <w:rFonts w:hint="eastAsia"/>
                <w:b/>
                <w:bCs/>
                <w:sz w:val="22"/>
                <w:szCs w:val="22"/>
              </w:rPr>
              <w:t>考核标准</w:t>
            </w:r>
          </w:p>
        </w:tc>
        <w:tc>
          <w:tcPr>
            <w:tcW w:w="1590" w:type="dxa"/>
            <w:noWrap w:val="0"/>
            <w:vAlign w:val="center"/>
          </w:tcPr>
          <w:p>
            <w:pPr>
              <w:jc w:val="center"/>
              <w:rPr>
                <w:rFonts w:ascii="宋体" w:hAnsi="宋体" w:cs="宋体"/>
                <w:b/>
                <w:bCs/>
                <w:sz w:val="22"/>
                <w:szCs w:val="22"/>
              </w:rPr>
            </w:pPr>
            <w:r>
              <w:rPr>
                <w:rFonts w:hint="eastAsia"/>
                <w:b/>
                <w:bCs/>
                <w:sz w:val="22"/>
                <w:szCs w:val="22"/>
              </w:rPr>
              <w:t>被考核部门</w:t>
            </w:r>
          </w:p>
        </w:tc>
        <w:tc>
          <w:tcPr>
            <w:tcW w:w="2010" w:type="dxa"/>
            <w:noWrap w:val="0"/>
            <w:vAlign w:val="center"/>
          </w:tcPr>
          <w:p>
            <w:pPr>
              <w:jc w:val="center"/>
              <w:rPr>
                <w:rFonts w:ascii="宋体" w:hAnsi="宋体" w:cs="宋体"/>
                <w:b/>
                <w:bCs/>
                <w:sz w:val="22"/>
                <w:szCs w:val="22"/>
              </w:rPr>
            </w:pPr>
            <w:r>
              <w:rPr>
                <w:rFonts w:hint="eastAsia"/>
                <w:b/>
                <w:bCs/>
                <w:sz w:val="22"/>
                <w:szCs w:val="22"/>
              </w:rPr>
              <w:t>考核金额</w:t>
            </w:r>
          </w:p>
        </w:tc>
        <w:tc>
          <w:tcPr>
            <w:tcW w:w="1530" w:type="dxa"/>
            <w:noWrap w:val="0"/>
            <w:vAlign w:val="center"/>
          </w:tcPr>
          <w:p>
            <w:pPr>
              <w:jc w:val="center"/>
              <w:rPr>
                <w:rFonts w:ascii="宋体" w:hAnsi="宋体" w:cs="宋体"/>
                <w:b/>
                <w:bCs/>
                <w:sz w:val="22"/>
                <w:szCs w:val="22"/>
              </w:rPr>
            </w:pPr>
            <w:r>
              <w:rPr>
                <w:rFonts w:hint="eastAsia"/>
                <w:b/>
                <w:bCs/>
                <w:sz w:val="22"/>
                <w:szCs w:val="22"/>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检修准备工作</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未按期完成检修中使用的专用工具、安全工器具等的准备，做到数量齐全，并经检验（检查）合格</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未按期完成检修中使用的标准检验、测量仪器的准备，做到数量齐全，保证符合相关技术规定</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未按期完成对外包工程单位人员的安全教育和《电业安全工作规程》考试的检查工作并备案</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未确认与承接工作相适应的工作票签发人、负责人名单</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未按期对特殊工种人员的资格进行确认</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对危险性大的作业，未制定专项施工组织、安全措施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重大项目无技术、安全措施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未向外检修委队伍的相关人员进行安全、技术交底</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1.9 </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检修工作的实施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重大项目无技术措施或有措施不落实</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设备发生异动无手续或手续不全</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200元/项</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bCs/>
                <w:kern w:val="0"/>
                <w:sz w:val="22"/>
                <w:szCs w:val="22"/>
                <w:lang w:eastAsia="zh-CN"/>
              </w:rPr>
            </w:pPr>
            <w:r>
              <w:rPr>
                <w:rFonts w:hint="eastAsia" w:ascii="宋体" w:hAnsi="宋体" w:cs="宋体"/>
                <w:b/>
                <w:bCs/>
                <w:kern w:val="0"/>
                <w:sz w:val="22"/>
                <w:szCs w:val="22"/>
              </w:rPr>
              <w:t>安全文明</w:t>
            </w:r>
            <w:r>
              <w:rPr>
                <w:rFonts w:hint="eastAsia" w:ascii="宋体" w:hAnsi="宋体" w:cs="宋体"/>
                <w:b/>
                <w:bCs/>
                <w:kern w:val="0"/>
                <w:sz w:val="22"/>
                <w:szCs w:val="22"/>
                <w:lang w:eastAsia="zh-CN"/>
              </w:rPr>
              <w:t>及职业卫生</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无票作业</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工作票办理不及时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工作票措施不全</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“两票”不合格、或全过程执行不符合标准</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检查工作票和现场监督</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工作票终结不及时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2．6 </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系统隔离或试转时出现操作问题</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运行部门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在未办理试转手续的情况下试转设备</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发生火警</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工作负责人</w:t>
            </w:r>
            <w:r>
              <w:rPr>
                <w:rFonts w:hint="eastAsia" w:ascii="宋体" w:hAnsi="宋体" w:cs="宋体"/>
                <w:kern w:val="0"/>
                <w:sz w:val="22"/>
                <w:szCs w:val="22"/>
                <w:lang w:eastAsia="zh-CN"/>
              </w:rPr>
              <w:t>、</w:t>
            </w:r>
            <w:r>
              <w:rPr>
                <w:rFonts w:hint="eastAsia" w:ascii="宋体" w:hAnsi="宋体" w:cs="宋体"/>
                <w:kern w:val="0"/>
                <w:sz w:val="22"/>
                <w:szCs w:val="22"/>
                <w:lang w:val="en-US" w:eastAsia="zh-CN"/>
              </w:rPr>
              <w:t>安全员</w:t>
            </w:r>
            <w:r>
              <w:rPr>
                <w:rFonts w:hint="eastAsia" w:ascii="宋体" w:hAnsi="宋体" w:cs="宋体"/>
                <w:kern w:val="0"/>
                <w:sz w:val="22"/>
                <w:szCs w:val="22"/>
              </w:rPr>
              <w:t>进入作业现场不佩戴袖标</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发生违章（指挥、作业、装置、管理）现象和行为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规程和上级、公司有关规定为准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现场不戴安全帽、不系紧安全帽带</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snapToGrid w:val="0"/>
                <w:color w:val="000000"/>
                <w:kern w:val="0"/>
                <w:szCs w:val="21"/>
              </w:rPr>
              <w:t>在高处作业、受限空间作业或重要特殊场所作业不戴安全帽考核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rPr>
              <w:t>500元，</w:t>
            </w:r>
            <w:r>
              <w:rPr>
                <w:rFonts w:hint="eastAsia" w:ascii="宋体" w:hAnsi="宋体"/>
                <w:snapToGrid w:val="0"/>
                <w:color w:val="000000"/>
                <w:kern w:val="0"/>
                <w:szCs w:val="21"/>
                <w:lang w:eastAsia="zh-CN"/>
              </w:rPr>
              <w:t>考核责任部门负责人和分管负责人</w:t>
            </w:r>
            <w:r>
              <w:rPr>
                <w:rFonts w:hint="eastAsia" w:ascii="宋体" w:hAnsi="宋体"/>
                <w:snapToGrid w:val="0"/>
                <w:color w:val="000000"/>
                <w:kern w:val="0"/>
                <w:szCs w:val="21"/>
                <w:lang w:val="en-US" w:eastAsia="zh-CN"/>
              </w:rPr>
              <w:t>200</w:t>
            </w:r>
            <w:r>
              <w:rPr>
                <w:rFonts w:hint="eastAsia" w:ascii="宋体" w:hAnsi="宋体"/>
                <w:snapToGrid w:val="0"/>
                <w:kern w:val="0"/>
                <w:szCs w:val="21"/>
              </w:rPr>
              <w:t>-</w:t>
            </w:r>
            <w:r>
              <w:rPr>
                <w:rFonts w:hint="eastAsia" w:ascii="宋体" w:hAnsi="宋体"/>
                <w:snapToGrid w:val="0"/>
                <w:kern w:val="0"/>
                <w:szCs w:val="21"/>
                <w:lang w:val="en-US" w:eastAsia="zh-CN"/>
              </w:rPr>
              <w:t>300元；</w:t>
            </w:r>
            <w:r>
              <w:rPr>
                <w:rFonts w:hint="eastAsia" w:ascii="宋体" w:hAnsi="宋体"/>
                <w:snapToGrid w:val="0"/>
                <w:color w:val="000000"/>
                <w:kern w:val="0"/>
                <w:szCs w:val="21"/>
              </w:rPr>
              <w:t>在其他生产现场作业不戴安全帽考核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lang w:val="en-US" w:eastAsia="zh-CN"/>
              </w:rPr>
              <w:t>3</w:t>
            </w:r>
            <w:r>
              <w:rPr>
                <w:rFonts w:hint="eastAsia" w:ascii="宋体" w:hAnsi="宋体"/>
                <w:snapToGrid w:val="0"/>
                <w:color w:val="000000"/>
                <w:kern w:val="0"/>
                <w:szCs w:val="21"/>
              </w:rPr>
              <w:t>00元；上班期间（上下班途中除外）在主厂房周围、脱硫除灰化水输煤区域机动车通道行走不戴安全帽考核</w:t>
            </w:r>
            <w:r>
              <w:rPr>
                <w:rFonts w:hint="eastAsia" w:ascii="宋体" w:hAnsi="宋体"/>
                <w:snapToGrid w:val="0"/>
                <w:color w:val="000000"/>
                <w:kern w:val="0"/>
                <w:szCs w:val="21"/>
                <w:lang w:val="en-US" w:eastAsia="zh-CN"/>
              </w:rPr>
              <w:t>2</w:t>
            </w:r>
            <w:r>
              <w:rPr>
                <w:rFonts w:hint="eastAsia" w:ascii="宋体" w:hAnsi="宋体"/>
                <w:snapToGrid w:val="0"/>
                <w:color w:val="000000"/>
                <w:kern w:val="0"/>
                <w:szCs w:val="21"/>
              </w:rPr>
              <w:t>00元。不正确佩戴安全帽按上述标准减半考核</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未按规定穿工作服和佩戴劳保用品</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穿高跟鞋、短衣、裙子、长头发未盘在帽内等进入现场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登高作业未按规定使用安全带、安全绳</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500-1000</w:t>
            </w:r>
            <w:r>
              <w:rPr>
                <w:rFonts w:hint="eastAsia" w:ascii="宋体" w:hAnsi="宋体" w:cs="宋体"/>
                <w:kern w:val="0"/>
                <w:sz w:val="22"/>
                <w:szCs w:val="22"/>
              </w:rPr>
              <w:t>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高空作业携带工具未使用工具袋，高空抛掷物品</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搭设的脚手架不合格或使用未验收合格脚手架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w:t>
            </w:r>
            <w:r>
              <w:rPr>
                <w:rFonts w:hint="eastAsia" w:ascii="宋体" w:hAnsi="宋体" w:cs="宋体"/>
                <w:kern w:val="0"/>
                <w:sz w:val="22"/>
                <w:szCs w:val="22"/>
              </w:rPr>
              <w:t>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2．17 </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使用不合格的登高器具、架台、起重设施、电动工器具</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有落物、坠落的危险作业区域，未设置安全围栏和明显警示标志，无专人监护</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高空电焊、切割作业的下方没有防止焊渣、边料坠落伤人或引起火警的隔离措施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w:t>
            </w:r>
            <w:r>
              <w:rPr>
                <w:rFonts w:hint="eastAsia" w:ascii="宋体" w:hAnsi="宋体" w:cs="宋体"/>
                <w:kern w:val="0"/>
                <w:sz w:val="22"/>
                <w:szCs w:val="22"/>
                <w:lang w:val="en-US" w:eastAsia="zh-CN"/>
              </w:rPr>
              <w:t>转移、</w:t>
            </w:r>
            <w:r>
              <w:rPr>
                <w:rFonts w:hint="eastAsia" w:ascii="宋体" w:hAnsi="宋体" w:cs="宋体"/>
                <w:kern w:val="0"/>
                <w:sz w:val="22"/>
                <w:szCs w:val="22"/>
              </w:rPr>
              <w:t>使用、存放的氧气、乙炔瓶不符合安规要求</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检修电源和现场照明电源没有漏电保护器；在金属容器内和潮湿的场所使用的照明不是安全电压</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违反有限空间、登高、用电、焊接等高危作业规定以及</w:t>
            </w:r>
            <w:r>
              <w:rPr>
                <w:rFonts w:hint="eastAsia" w:ascii="宋体" w:hAnsi="宋体" w:cs="宋体"/>
                <w:kern w:val="0"/>
                <w:sz w:val="22"/>
                <w:szCs w:val="22"/>
              </w:rPr>
              <w:t>没有特种作业资质证人员进行特种作业</w:t>
            </w:r>
            <w:r>
              <w:rPr>
                <w:rFonts w:hint="eastAsia" w:ascii="宋体" w:hAnsi="宋体" w:cs="宋体"/>
                <w:kern w:val="0"/>
                <w:sz w:val="22"/>
                <w:szCs w:val="22"/>
                <w:lang w:val="en-US" w:eastAsia="zh-CN"/>
              </w:rPr>
              <w:t>或操作特种设备</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200-1000</w:t>
            </w:r>
            <w:r>
              <w:rPr>
                <w:rFonts w:hint="eastAsia" w:ascii="宋体" w:hAnsi="宋体" w:cs="宋体"/>
                <w:kern w:val="0"/>
                <w:sz w:val="22"/>
                <w:szCs w:val="22"/>
              </w:rPr>
              <w:t>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起重作业违章</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擅自拆除、开挖地面，或不按规定设标志、</w:t>
            </w:r>
            <w:r>
              <w:rPr>
                <w:rFonts w:hint="eastAsia" w:ascii="宋体" w:hAnsi="宋体" w:cs="宋体"/>
                <w:kern w:val="0"/>
                <w:sz w:val="22"/>
                <w:szCs w:val="22"/>
                <w:lang w:eastAsia="zh-CN"/>
              </w:rPr>
              <w:t>围栏</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拆除的孔洞盖板、栏杆、隔离层等未及时恢复</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从事电、火焊作业、使用电动砂轮机具，未按规定使用防护用品</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车辆违章驾驶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外包施工、临时工作业无人监护或监护不到位</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外包施工队伍未签订安全协议、未进行安全教育擅自批准开工</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检查手续</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未按要求进行班组安全活动</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班前会未做安全注意事项交底或班组的工作日志中未体现对外包单位安全交底的完整记录</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安全专项活动查出的装置违章、隐患、缺陷应消除而未消除的</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重大项目无安全措施或有措施不落实</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没有办批准手续而随意变更安全技术措施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设备、零部件拆卸摆放不整齐或未采取有效防护措施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检修现场脏、乱、差</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乱拉乱接电线</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损坏地面隔离层、瓷砖等</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管口未按要求封堵；裸露线头不包扎</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禁烟区域吸烟、乱扔烟头等</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施工剩余的废料、垃圾不按指定地点分类存放；乱倒废油、废液</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拆包保温未按要求进行，污染现场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2．42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管道铁皮拆开后未按顺序竖直摆放或折损变形</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电气设备绝缘件被踏踩</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各标志、电缆牌、端子牌不规范</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电缆、管道敷设布置不规范，标志不齐全</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拆保温未洒水和装袋，高层保温步道上未铺垫，造成飞尘污染</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乱砸乱拆保温或损伤抹面、敷层</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作业、施工现场达不到工完料净场地清</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2.49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拆除的安全防范措施（平台、栏杆、格栅板、吊装孔等）没有及时申请许可就拆除；拆除无临时安全措施、拆除后未按计划、安全要求进行恢复；验收确认不认真。</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安全管理人员不到位或擅自离场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现场见证</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调查</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1000元/天</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作业现场文明形象差</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rPr>
            </w:pPr>
            <w:r>
              <w:rPr>
                <w:rFonts w:hint="eastAsia" w:ascii="宋体" w:hAnsi="宋体" w:cs="宋体"/>
                <w:b/>
                <w:bCs/>
                <w:kern w:val="0"/>
                <w:sz w:val="22"/>
                <w:szCs w:val="22"/>
                <w:lang w:val="en-US" w:eastAsia="zh-CN"/>
              </w:rPr>
              <w:t>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eastAsia="zh-CN"/>
              </w:rPr>
            </w:pPr>
            <w:r>
              <w:rPr>
                <w:rFonts w:hint="eastAsia" w:ascii="宋体" w:hAnsi="宋体" w:cs="宋体"/>
                <w:b/>
                <w:bCs/>
                <w:kern w:val="0"/>
                <w:sz w:val="22"/>
                <w:szCs w:val="22"/>
                <w:lang w:eastAsia="zh-CN"/>
              </w:rPr>
              <w:t>环境保护</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eastAsia="宋体" w:cs="宋体"/>
                <w:color w:val="auto"/>
                <w:kern w:val="0"/>
                <w:sz w:val="22"/>
                <w:szCs w:val="22"/>
              </w:rPr>
              <w:t>油、含油废液等进入雨水系统造成外排水水质异常</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r>
              <w:rPr>
                <w:rFonts w:hint="eastAsia" w:ascii="宋体" w:hAnsi="宋体"/>
                <w:snapToGrid w:val="0"/>
                <w:color w:val="auto"/>
                <w:kern w:val="0"/>
                <w:szCs w:val="21"/>
              </w:rPr>
              <w:t>视污染程度</w:t>
            </w:r>
            <w:r>
              <w:rPr>
                <w:rFonts w:hint="eastAsia" w:ascii="宋体" w:hAnsi="宋体"/>
                <w:snapToGrid w:val="0"/>
                <w:color w:val="auto"/>
                <w:kern w:val="0"/>
                <w:szCs w:val="21"/>
                <w:lang w:eastAsia="zh-CN"/>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责任单位</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500-2000元/次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石灰石及石膏浆液，燃煤、白泥、灰渣冲洗水等进入雨水系统发生</w:t>
            </w:r>
            <w:r>
              <w:rPr>
                <w:rFonts w:hint="eastAsia" w:ascii="宋体" w:hAnsi="宋体"/>
                <w:snapToGrid w:val="0"/>
                <w:color w:val="auto"/>
                <w:kern w:val="0"/>
                <w:szCs w:val="21"/>
                <w:lang w:val="en-US" w:eastAsia="zh-CN"/>
              </w:rPr>
              <w:t>水</w:t>
            </w:r>
            <w:r>
              <w:rPr>
                <w:rFonts w:hint="eastAsia" w:ascii="宋体" w:hAnsi="宋体"/>
                <w:snapToGrid w:val="0"/>
                <w:color w:val="auto"/>
                <w:kern w:val="0"/>
                <w:szCs w:val="21"/>
              </w:rPr>
              <w:t>污染事件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相关部门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snapToGrid w:val="0"/>
                <w:color w:val="auto"/>
                <w:kern w:val="0"/>
                <w:sz w:val="21"/>
                <w:szCs w:val="21"/>
              </w:rPr>
            </w:pPr>
            <w:r>
              <w:rPr>
                <w:rFonts w:hint="eastAsia" w:ascii="宋体" w:hAnsi="宋体"/>
                <w:snapToGrid w:val="0"/>
                <w:color w:val="auto"/>
                <w:kern w:val="0"/>
                <w:szCs w:val="21"/>
              </w:rPr>
              <w:t>清扫责任区域清洁时，未采取措施造成</w:t>
            </w:r>
            <w:r>
              <w:rPr>
                <w:rFonts w:hint="eastAsia" w:ascii="宋体" w:hAnsi="宋体" w:eastAsia="宋体" w:cs="宋体"/>
                <w:snapToGrid w:val="0"/>
                <w:color w:val="auto"/>
                <w:kern w:val="0"/>
                <w:sz w:val="21"/>
                <w:szCs w:val="21"/>
              </w:rPr>
              <w:t>废水进入雨水系统造成外排水水质异常</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检修维护不当或不正常使用降噪设备、措 施，造成厂界噪声超标</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现场见证或经根据调查确证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color w:val="auto"/>
                <w:kern w:val="0"/>
                <w:szCs w:val="21"/>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违反运行规程使用环保设施，或者不按检修规程进行检修和维护，致使环保设备不能正常运行</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200-1000元/次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对环保设备“跑、冒、滴、漏”消缺不及时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环保设备设施检修前后的台账、记录不齐 全不完全、准确</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200-200</w:t>
            </w:r>
            <w:r>
              <w:rPr>
                <w:rFonts w:hint="eastAsia" w:ascii="宋体" w:hAnsi="宋体"/>
                <w:snapToGrid w:val="0"/>
                <w:color w:val="auto"/>
                <w:kern w:val="0"/>
                <w:szCs w:val="21"/>
              </w:rPr>
              <w:t>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将生活垃圾混入到工业垃圾</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不按《危险废物管理标准》规定申报审批，随意处置造成危险废物泄漏、倾倒或</w:t>
            </w:r>
            <w:r>
              <w:rPr>
                <w:rFonts w:hint="eastAsia" w:ascii="宋体" w:hAnsi="宋体"/>
                <w:snapToGrid w:val="0"/>
                <w:color w:val="auto"/>
                <w:kern w:val="0"/>
                <w:szCs w:val="21"/>
                <w:lang w:eastAsia="zh-CN"/>
              </w:rPr>
              <w:t>抛洒</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不按《危险废物管理标准》规定</w:t>
            </w:r>
            <w:r>
              <w:rPr>
                <w:rFonts w:hint="eastAsia" w:ascii="宋体" w:hAnsi="宋体"/>
                <w:snapToGrid w:val="0"/>
                <w:color w:val="auto"/>
                <w:kern w:val="0"/>
                <w:szCs w:val="21"/>
                <w:lang w:val="en-US" w:eastAsia="zh-CN"/>
              </w:rPr>
              <w:t>进行</w:t>
            </w:r>
            <w:r>
              <w:rPr>
                <w:rFonts w:hint="eastAsia" w:ascii="宋体" w:hAnsi="宋体"/>
                <w:snapToGrid w:val="0"/>
                <w:color w:val="auto"/>
                <w:kern w:val="0"/>
                <w:szCs w:val="21"/>
              </w:rPr>
              <w:t>收集、标识、</w:t>
            </w:r>
            <w:r>
              <w:rPr>
                <w:rFonts w:hint="eastAsia" w:ascii="宋体" w:hAnsi="宋体"/>
                <w:snapToGrid w:val="0"/>
                <w:color w:val="auto"/>
                <w:kern w:val="0"/>
                <w:szCs w:val="21"/>
                <w:lang w:val="en-US" w:eastAsia="zh-CN"/>
              </w:rPr>
              <w:t>转运</w:t>
            </w:r>
            <w:r>
              <w:rPr>
                <w:rFonts w:hint="eastAsia" w:ascii="宋体" w:hAnsi="宋体"/>
                <w:snapToGrid w:val="0"/>
                <w:color w:val="auto"/>
                <w:kern w:val="0"/>
                <w:szCs w:val="21"/>
              </w:rPr>
              <w:t>、贮存</w:t>
            </w:r>
            <w:r>
              <w:rPr>
                <w:rFonts w:hint="eastAsia" w:ascii="宋体" w:hAnsi="宋体"/>
                <w:snapToGrid w:val="0"/>
                <w:color w:val="auto"/>
                <w:kern w:val="0"/>
                <w:szCs w:val="21"/>
                <w:lang w:eastAsia="zh-CN"/>
              </w:rPr>
              <w:t>、</w:t>
            </w:r>
            <w:r>
              <w:rPr>
                <w:rFonts w:hint="eastAsia" w:ascii="宋体" w:hAnsi="宋体"/>
                <w:snapToGrid w:val="0"/>
                <w:color w:val="auto"/>
                <w:kern w:val="0"/>
                <w:szCs w:val="21"/>
              </w:rPr>
              <w:t>转移危险废物</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ascii="宋体" w:hAnsi="宋体" w:cs="宋体"/>
                <w:kern w:val="0"/>
                <w:sz w:val="22"/>
                <w:szCs w:val="22"/>
              </w:rPr>
            </w:pPr>
            <w:r>
              <w:rPr>
                <w:rFonts w:hint="eastAsia" w:ascii="宋体" w:hAnsi="宋体"/>
                <w:snapToGrid w:val="0"/>
                <w:color w:val="auto"/>
                <w:kern w:val="0"/>
                <w:szCs w:val="21"/>
              </w:rPr>
              <w:t>对收集、贮存设施配备、维护、安全管理缺失，造成危险废物丢失、损毁或污染危害（排放超标）</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eastAsia="zh-CN"/>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eastAsia="zh-CN"/>
              </w:rPr>
              <w:t>2</w:t>
            </w:r>
            <w:r>
              <w:rPr>
                <w:rFonts w:hint="eastAsia" w:ascii="宋体" w:hAnsi="宋体"/>
                <w:snapToGrid w:val="0"/>
                <w:color w:val="auto"/>
                <w:kern w:val="0"/>
                <w:szCs w:val="21"/>
                <w:lang w:val="en-US" w:eastAsia="zh-CN"/>
              </w:rPr>
              <w:t>000</w:t>
            </w:r>
            <w:r>
              <w:rPr>
                <w:rFonts w:hint="eastAsia" w:ascii="宋体" w:hAnsi="宋体"/>
                <w:snapToGrid w:val="0"/>
                <w:color w:val="auto"/>
                <w:kern w:val="0"/>
                <w:szCs w:val="21"/>
              </w:rPr>
              <w:t>-30000元/次，直接责任人1000-5000元/次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发生危险废物</w:t>
            </w:r>
            <w:r>
              <w:rPr>
                <w:rFonts w:hint="eastAsia" w:ascii="宋体" w:hAnsi="宋体"/>
                <w:snapToGrid w:val="0"/>
                <w:color w:val="auto"/>
                <w:kern w:val="0"/>
                <w:szCs w:val="21"/>
                <w:lang w:val="en-US" w:eastAsia="zh-CN"/>
              </w:rPr>
              <w:t>突发事件</w:t>
            </w:r>
            <w:r>
              <w:rPr>
                <w:rFonts w:hint="eastAsia" w:ascii="宋体" w:hAnsi="宋体"/>
                <w:snapToGrid w:val="0"/>
                <w:color w:val="auto"/>
                <w:kern w:val="0"/>
                <w:szCs w:val="21"/>
              </w:rPr>
              <w:t>不及时报告、救援处理或处理失当扩大事故的</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10000</w:t>
            </w:r>
            <w:r>
              <w:rPr>
                <w:rFonts w:hint="eastAsia" w:ascii="宋体" w:hAnsi="宋体"/>
                <w:snapToGrid w:val="0"/>
                <w:color w:val="auto"/>
                <w:kern w:val="0"/>
                <w:szCs w:val="21"/>
              </w:rPr>
              <w:t>-30000元/次，直接责任人1000-5000元/次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lang w:val="en-US" w:eastAsia="zh-CN"/>
              </w:rPr>
              <w:t>不相容的</w:t>
            </w:r>
            <w:r>
              <w:rPr>
                <w:rFonts w:hint="eastAsia" w:ascii="宋体" w:hAnsi="宋体"/>
                <w:snapToGrid w:val="0"/>
                <w:color w:val="auto"/>
                <w:kern w:val="0"/>
                <w:szCs w:val="21"/>
              </w:rPr>
              <w:t>危险废物贮存时未采取隔离措施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200-500</w:t>
            </w:r>
            <w:r>
              <w:rPr>
                <w:rFonts w:hint="eastAsia" w:ascii="宋体" w:hAnsi="宋体"/>
                <w:snapToGrid w:val="0"/>
                <w:color w:val="auto"/>
                <w:kern w:val="0"/>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将废油倒入下水道，造成雨水系统水污染</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500-</w:t>
            </w:r>
            <w:r>
              <w:rPr>
                <w:rFonts w:hint="eastAsia" w:ascii="宋体" w:hAnsi="宋体"/>
                <w:snapToGrid w:val="0"/>
                <w:color w:val="auto"/>
                <w:kern w:val="0"/>
                <w:szCs w:val="21"/>
                <w:lang w:eastAsia="zh-CN"/>
              </w:rPr>
              <w:t>5</w:t>
            </w:r>
            <w:r>
              <w:rPr>
                <w:rFonts w:hint="eastAsia" w:ascii="宋体" w:hAnsi="宋体"/>
                <w:snapToGrid w:val="0"/>
                <w:color w:val="auto"/>
                <w:kern w:val="0"/>
                <w:szCs w:val="21"/>
              </w:rPr>
              <w:t>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将废油或含油污的棉纱、棉布等倒入生活垃圾桶、工业垃圾池或随地乱扔、破坏绿化等行为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00元/次，直接责任人</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ascii="宋体" w:hAnsi="宋体"/>
                <w:snapToGrid w:val="0"/>
                <w:color w:val="auto"/>
                <w:kern w:val="0"/>
                <w:szCs w:val="21"/>
              </w:rPr>
              <w:t>易产生扬尘的设备检修</w:t>
            </w:r>
            <w:r>
              <w:rPr>
                <w:rFonts w:hint="eastAsia" w:ascii="宋体" w:hAnsi="宋体"/>
                <w:snapToGrid w:val="0"/>
                <w:color w:val="auto"/>
                <w:kern w:val="0"/>
                <w:szCs w:val="21"/>
              </w:rPr>
              <w:t>、</w:t>
            </w:r>
            <w:r>
              <w:rPr>
                <w:rFonts w:ascii="宋体" w:hAnsi="宋体"/>
                <w:snapToGrid w:val="0"/>
                <w:color w:val="auto"/>
                <w:kern w:val="0"/>
                <w:szCs w:val="21"/>
              </w:rPr>
              <w:t>工程施工等</w:t>
            </w:r>
            <w:r>
              <w:rPr>
                <w:rFonts w:hint="eastAsia" w:ascii="宋体" w:hAnsi="宋体"/>
                <w:snapToGrid w:val="0"/>
                <w:color w:val="auto"/>
                <w:kern w:val="0"/>
                <w:szCs w:val="21"/>
              </w:rPr>
              <w:t>，</w:t>
            </w:r>
            <w:r>
              <w:rPr>
                <w:rFonts w:ascii="宋体" w:hAnsi="宋体"/>
                <w:snapToGrid w:val="0"/>
                <w:color w:val="auto"/>
                <w:kern w:val="0"/>
                <w:szCs w:val="21"/>
              </w:rPr>
              <w:t>未采取围挡、遮盖</w:t>
            </w:r>
            <w:r>
              <w:rPr>
                <w:rFonts w:hint="eastAsia" w:ascii="宋体" w:hAnsi="宋体"/>
                <w:snapToGrid w:val="0"/>
                <w:color w:val="auto"/>
                <w:kern w:val="0"/>
                <w:szCs w:val="21"/>
              </w:rPr>
              <w:t>、</w:t>
            </w:r>
            <w:r>
              <w:rPr>
                <w:rFonts w:ascii="宋体" w:hAnsi="宋体"/>
                <w:snapToGrid w:val="0"/>
                <w:color w:val="auto"/>
                <w:kern w:val="0"/>
                <w:szCs w:val="21"/>
              </w:rPr>
              <w:t>洒水</w:t>
            </w:r>
            <w:r>
              <w:rPr>
                <w:rFonts w:hint="eastAsia" w:ascii="宋体" w:hAnsi="宋体"/>
                <w:snapToGrid w:val="0"/>
                <w:color w:val="auto"/>
                <w:kern w:val="0"/>
                <w:szCs w:val="21"/>
              </w:rPr>
              <w:t>、</w:t>
            </w:r>
            <w:r>
              <w:rPr>
                <w:rFonts w:ascii="宋体" w:hAnsi="宋体"/>
                <w:snapToGrid w:val="0"/>
                <w:color w:val="auto"/>
                <w:kern w:val="0"/>
                <w:szCs w:val="21"/>
              </w:rPr>
              <w:t>分段作业</w:t>
            </w:r>
            <w:r>
              <w:rPr>
                <w:rFonts w:hint="eastAsia" w:ascii="宋体" w:hAnsi="宋体"/>
                <w:snapToGrid w:val="0"/>
                <w:color w:val="auto"/>
                <w:kern w:val="0"/>
                <w:szCs w:val="21"/>
              </w:rPr>
              <w:t>及</w:t>
            </w:r>
            <w:r>
              <w:rPr>
                <w:rFonts w:ascii="宋体" w:hAnsi="宋体"/>
                <w:snapToGrid w:val="0"/>
                <w:color w:val="auto"/>
                <w:kern w:val="0"/>
                <w:szCs w:val="21"/>
              </w:rPr>
              <w:t>冲洗地面</w:t>
            </w:r>
            <w:r>
              <w:rPr>
                <w:rFonts w:hint="eastAsia" w:ascii="宋体" w:hAnsi="宋体"/>
                <w:snapToGrid w:val="0"/>
                <w:color w:val="auto"/>
                <w:kern w:val="0"/>
                <w:szCs w:val="21"/>
              </w:rPr>
              <w:t>、</w:t>
            </w:r>
            <w:r>
              <w:rPr>
                <w:rFonts w:ascii="宋体" w:hAnsi="宋体"/>
                <w:snapToGrid w:val="0"/>
                <w:color w:val="auto"/>
                <w:kern w:val="0"/>
                <w:szCs w:val="21"/>
              </w:rPr>
              <w:t>车辆等防尘措施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lang w:val="en-US" w:eastAsia="zh-CN"/>
              </w:rPr>
              <w:t>作业场所的保温棉及其他易产生扬尘的用品，未采取有效措施苫盖</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ascii="宋体" w:hAnsi="宋体"/>
                <w:snapToGrid w:val="0"/>
                <w:color w:val="auto"/>
                <w:kern w:val="0"/>
                <w:szCs w:val="21"/>
              </w:rPr>
              <w:t>建筑垃圾、工程渣土等未</w:t>
            </w:r>
            <w:r>
              <w:rPr>
                <w:rFonts w:hint="eastAsia" w:ascii="宋体" w:hAnsi="宋体"/>
                <w:snapToGrid w:val="0"/>
                <w:color w:val="auto"/>
                <w:kern w:val="0"/>
                <w:szCs w:val="21"/>
              </w:rPr>
              <w:t>及时</w:t>
            </w:r>
            <w:r>
              <w:rPr>
                <w:rFonts w:ascii="宋体" w:hAnsi="宋体"/>
                <w:snapToGrid w:val="0"/>
                <w:color w:val="auto"/>
                <w:kern w:val="0"/>
                <w:szCs w:val="21"/>
              </w:rPr>
              <w:t>清运，</w:t>
            </w:r>
            <w:r>
              <w:rPr>
                <w:rFonts w:hint="eastAsia" w:ascii="宋体" w:hAnsi="宋体"/>
                <w:snapToGrid w:val="0"/>
                <w:color w:val="auto"/>
                <w:kern w:val="0"/>
                <w:szCs w:val="21"/>
              </w:rPr>
              <w:t>或未</w:t>
            </w:r>
            <w:r>
              <w:rPr>
                <w:rFonts w:ascii="宋体" w:hAnsi="宋体"/>
                <w:snapToGrid w:val="0"/>
                <w:color w:val="auto"/>
                <w:kern w:val="0"/>
                <w:szCs w:val="21"/>
              </w:rPr>
              <w:t>采取围挡、</w:t>
            </w:r>
            <w:r>
              <w:rPr>
                <w:rFonts w:hint="eastAsia" w:ascii="宋体" w:hAnsi="宋体"/>
                <w:snapToGrid w:val="0"/>
                <w:color w:val="auto"/>
                <w:kern w:val="0"/>
                <w:szCs w:val="21"/>
              </w:rPr>
              <w:t>密闭式防尘网</w:t>
            </w:r>
            <w:r>
              <w:rPr>
                <w:rFonts w:ascii="宋体" w:hAnsi="宋体"/>
                <w:snapToGrid w:val="0"/>
                <w:color w:val="auto"/>
                <w:kern w:val="0"/>
                <w:szCs w:val="21"/>
              </w:rPr>
              <w:t>等防尘措施</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未认真完成责任片区的道路清洁</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树木冲洗降尘</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 xml:space="preserve"> 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3.20</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运送散装物料，采取高空抛掷、扬撒</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w:t>
            </w:r>
            <w:r>
              <w:rPr>
                <w:rFonts w:hint="eastAsia" w:ascii="宋体" w:hAnsi="宋体"/>
                <w:snapToGrid w:val="0"/>
                <w:color w:val="auto"/>
                <w:kern w:val="0"/>
                <w:szCs w:val="21"/>
              </w:rPr>
              <w:t>00-</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 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运输散装、液体物料时未采取密闭或其他 措施防止物料撒落、泄漏、扬散等</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10</w:t>
            </w:r>
            <w:r>
              <w:rPr>
                <w:rFonts w:hint="eastAsia" w:ascii="宋体" w:hAnsi="宋体"/>
                <w:snapToGrid w:val="0"/>
                <w:color w:val="auto"/>
                <w:kern w:val="0"/>
                <w:szCs w:val="21"/>
              </w:rPr>
              <w:t>00 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3.22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未及时清理洒落到地面的灰渣、煤渣、石膏等</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 xml:space="preserve">因检修或其他原因未通知绿化养护管理单位而造成植物死亡、景观效果受影响的；绿化养护管理单位未及时采取对植物移栽等措施造成植物死亡的 </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hint="eastAsia" w:ascii="宋体" w:hAnsi="宋体" w:cs="宋体"/>
                <w:kern w:val="0"/>
                <w:sz w:val="22"/>
                <w:szCs w:val="22"/>
              </w:rPr>
            </w:pPr>
            <w:r>
              <w:rPr>
                <w:rFonts w:hint="eastAsia" w:ascii="宋体" w:hAnsi="宋体"/>
                <w:snapToGrid w:val="0"/>
                <w:color w:val="auto"/>
                <w:kern w:val="0"/>
                <w:szCs w:val="21"/>
                <w:lang w:eastAsia="zh-CN"/>
              </w:rPr>
              <w:t>现场见证（视</w:t>
            </w:r>
            <w:r>
              <w:rPr>
                <w:rFonts w:hint="eastAsia" w:ascii="宋体" w:hAnsi="宋体"/>
                <w:snapToGrid w:val="0"/>
                <w:color w:val="auto"/>
                <w:kern w:val="0"/>
                <w:szCs w:val="21"/>
              </w:rPr>
              <w:t>植物被损坏的程度</w:t>
            </w:r>
            <w:r>
              <w:rPr>
                <w:rFonts w:hint="eastAsia" w:ascii="宋体" w:hAnsi="宋体"/>
                <w:snapToGrid w:val="0"/>
                <w:color w:val="auto"/>
                <w:kern w:val="0"/>
                <w:szCs w:val="21"/>
                <w:lang w:eastAsia="zh-CN"/>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1"/>
              <w:rPr>
                <w:rFonts w:hint="eastAsia" w:ascii="宋体" w:hAnsi="宋体" w:cs="宋体"/>
                <w:kern w:val="0"/>
                <w:sz w:val="22"/>
                <w:szCs w:val="22"/>
              </w:rPr>
            </w:pPr>
            <w:r>
              <w:rPr>
                <w:rFonts w:hint="eastAsia" w:ascii="宋体" w:hAnsi="宋体"/>
                <w:snapToGrid w:val="0"/>
                <w:color w:val="auto"/>
                <w:kern w:val="0"/>
                <w:szCs w:val="21"/>
              </w:rPr>
              <w:t>发生摘花、随意践踏草坪、攀折树枝、偷摘果实等影响植物生长、破坏景观效果等不良行为</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1"/>
              <w:rPr>
                <w:rFonts w:hint="eastAsia" w:ascii="宋体" w:hAnsi="宋体" w:eastAsia="宋体" w:cs="宋体"/>
                <w:kern w:val="0"/>
                <w:sz w:val="22"/>
                <w:szCs w:val="22"/>
                <w:lang w:eastAsia="zh-CN"/>
              </w:rPr>
            </w:pPr>
            <w:r>
              <w:rPr>
                <w:rFonts w:hint="eastAsia" w:ascii="宋体" w:hAnsi="宋体"/>
                <w:snapToGrid w:val="0"/>
                <w:color w:val="auto"/>
                <w:kern w:val="0"/>
                <w:szCs w:val="21"/>
                <w:lang w:eastAsia="zh-CN"/>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责任人</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200-1000</w:t>
            </w:r>
            <w:r>
              <w:rPr>
                <w:rFonts w:hint="eastAsia" w:ascii="宋体" w:hAnsi="宋体"/>
                <w:snapToGrid w:val="0"/>
                <w:color w:val="auto"/>
                <w:kern w:val="0"/>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事故考核</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．1</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外包单位发生人身轻伤</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．2</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．3</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外包单位发生人身重伤以上事故</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200000元/人次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．4</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发生人身伤亡未遂</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lang w:val="en-US" w:eastAsia="zh-CN"/>
              </w:rPr>
              <w:t>3000</w:t>
            </w:r>
            <w:r>
              <w:rPr>
                <w:rFonts w:hint="eastAsia" w:ascii="宋体" w:hAnsi="宋体" w:cs="宋体"/>
                <w:snapToGrid w:val="0"/>
                <w:color w:val="auto"/>
                <w:kern w:val="0"/>
                <w:sz w:val="21"/>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发生人身伤亡、设备事故（损坏）未遂，瞒情不报的</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发生一般设备损坏</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．7</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发生重大设备损坏事故</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．8</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发生一般火灾</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．9</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w:t>
            </w:r>
            <w:r>
              <w:rPr>
                <w:rFonts w:hint="eastAsia" w:ascii="宋体" w:hAnsi="宋体" w:cs="宋体"/>
                <w:snapToGrid w:val="0"/>
                <w:color w:val="auto"/>
                <w:kern w:val="0"/>
                <w:sz w:val="21"/>
                <w:szCs w:val="21"/>
                <w:lang w:val="en-US" w:eastAsia="zh-CN"/>
              </w:rPr>
              <w:t>较大及以上</w:t>
            </w:r>
            <w:r>
              <w:rPr>
                <w:rFonts w:hint="eastAsia" w:ascii="宋体" w:hAnsi="宋体" w:cs="宋体"/>
                <w:snapToGrid w:val="0"/>
                <w:color w:val="auto"/>
                <w:kern w:val="0"/>
                <w:sz w:val="21"/>
                <w:szCs w:val="21"/>
              </w:rPr>
              <w:t>火灾事故</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5</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eastAsia="zh-CN"/>
              </w:rPr>
            </w:pPr>
            <w:r>
              <w:rPr>
                <w:rFonts w:hint="eastAsia" w:ascii="宋体" w:hAnsi="宋体" w:cs="宋体"/>
                <w:snapToGrid w:val="0"/>
                <w:color w:val="auto"/>
                <w:kern w:val="0"/>
                <w:sz w:val="21"/>
                <w:szCs w:val="21"/>
              </w:rPr>
              <w:t>发生职业病</w:t>
            </w:r>
            <w:r>
              <w:rPr>
                <w:rFonts w:hint="eastAsia" w:ascii="宋体" w:hAnsi="宋体" w:cs="宋体"/>
                <w:snapToGrid w:val="0"/>
                <w:color w:val="auto"/>
                <w:kern w:val="0"/>
                <w:sz w:val="21"/>
                <w:szCs w:val="21"/>
                <w:lang w:val="en-US" w:eastAsia="zh-CN"/>
              </w:rPr>
              <w:t>病例</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有关规定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1000元/人次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6</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default" w:ascii="宋体" w:hAnsi="宋体" w:eastAsia="宋体" w:cs="宋体"/>
                <w:b w:val="0"/>
                <w:bCs w:val="0"/>
                <w:snapToGrid w:val="0"/>
                <w:color w:val="auto"/>
                <w:kern w:val="0"/>
                <w:sz w:val="21"/>
                <w:szCs w:val="21"/>
                <w:lang w:val="en-US" w:eastAsia="zh-CN" w:bidi="ar-SA"/>
              </w:rPr>
            </w:pPr>
            <w:r>
              <w:rPr>
                <w:rFonts w:hint="eastAsia" w:ascii="宋体" w:hAnsi="宋体" w:cs="宋体"/>
                <w:b w:val="0"/>
                <w:bCs w:val="0"/>
                <w:snapToGrid w:val="0"/>
                <w:color w:val="auto"/>
                <w:kern w:val="0"/>
                <w:sz w:val="21"/>
                <w:szCs w:val="21"/>
                <w:lang w:val="en-US" w:eastAsia="zh-CN"/>
              </w:rPr>
              <w:t>现场其他违章行为及不安全事件</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现场见证、调查分析</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责任部门</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default"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按照《安全环保奖惩管理标准》《反违章管理制度》《承包商及队伍、外来人员安全管理标准（试行）》等管理制度实施考核</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1"/>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安健环部</w:t>
            </w:r>
          </w:p>
        </w:tc>
      </w:tr>
    </w:tbl>
    <w:p>
      <w:pPr>
        <w:jc w:val="left"/>
        <w:rPr>
          <w:rFonts w:hint="default"/>
          <w:b/>
          <w:sz w:val="24"/>
          <w:lang w:val="en-US"/>
        </w:rPr>
      </w:pPr>
      <w:r>
        <w:rPr>
          <w:rFonts w:hint="eastAsia"/>
          <w:lang w:val="en-US" w:eastAsia="zh-CN"/>
        </w:rPr>
        <w:t>注：以上考核如与</w:t>
      </w:r>
      <w:r>
        <w:rPr>
          <w:rFonts w:hint="eastAsia" w:ascii="宋体" w:hAnsi="宋体"/>
          <w:b w:val="0"/>
          <w:bCs w:val="0"/>
          <w:snapToGrid w:val="0"/>
          <w:color w:val="auto"/>
          <w:kern w:val="0"/>
          <w:szCs w:val="21"/>
          <w:lang w:val="en-US" w:eastAsia="zh-CN"/>
        </w:rPr>
        <w:t>《设备检修安全管理标准》《安全环保奖惩管理标准》冲突的，以考核严厉的为准。</w:t>
      </w:r>
    </w:p>
    <w:p>
      <w:pPr>
        <w:spacing w:line="360" w:lineRule="auto"/>
        <w:rPr>
          <w:rFonts w:hint="eastAsia"/>
        </w:rPr>
      </w:pPr>
    </w:p>
    <w:sectPr>
      <w:headerReference r:id="rId9" w:type="default"/>
      <w:footerReference r:id="rId10"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Pr>
                            <w:instrText xml:space="preserve"> PAGE </w:instrText>
                          </w:r>
                          <w:r>
                            <w:fldChar w:fldCharType="separate"/>
                          </w:r>
                          <w:r>
                            <w:rPr>
                              <w:rStyle w:val="14"/>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jc w:val="center"/>
                    </w:pPr>
                    <w:r>
                      <w:fldChar w:fldCharType="begin"/>
                    </w:r>
                    <w:r>
                      <w:rPr>
                        <w:rStyle w:val="14"/>
                      </w:rPr>
                      <w:instrText xml:space="preserve"> PAGE </w:instrText>
                    </w:r>
                    <w:r>
                      <w:fldChar w:fldCharType="separate"/>
                    </w:r>
                    <w:r>
                      <w:rPr>
                        <w:rStyle w:val="14"/>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3</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4"/>
                            </w:rPr>
                          </w:pPr>
                          <w:r>
                            <w:fldChar w:fldCharType="begin"/>
                          </w:r>
                          <w:r>
                            <w:rPr>
                              <w:rStyle w:val="14"/>
                            </w:rPr>
                            <w:instrText xml:space="preserve">PAGE  </w:instrText>
                          </w:r>
                          <w:r>
                            <w:fldChar w:fldCharType="separate"/>
                          </w:r>
                          <w:r>
                            <w:rPr>
                              <w:rStyle w:val="14"/>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8</w:t>
                    </w:r>
                    <w: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FSPGTTAQAAp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5uAReQHG14nH0G+yYr/tR3Jb1xyRW4dL&#10;UFOLO0+J/mBR47QvkxEmYzsZex/Urs0LlaqDf7eP2FLuNFUYYJFhuuD0Mtdx09J6/HnPWU9/1/o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OFSPGTTAQAApQMAAA4AAAAAAAAAAQAgAAAAHw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6"/>
      <w:jc w:val="both"/>
      <w:rPr>
        <w:rFonts w:hint="eastAsia"/>
      </w:rPr>
    </w:pPr>
    <w:r>
      <w:rPr>
        <w:rFonts w:ascii="Arial" w:hAnsi="Arial" w:eastAsia="黑体" w:cs="Arial"/>
      </w:rPr>
      <w:t>四川</w:t>
    </w:r>
    <w:r>
      <w:rPr>
        <w:rFonts w:hint="eastAsia" w:ascii="Arial" w:hAnsi="Arial" w:eastAsia="黑体" w:cs="Arial"/>
      </w:rPr>
      <w:t>泸州川南发电有限公司</w:t>
    </w:r>
    <w:r>
      <w:rPr>
        <w:rFonts w:ascii="Arial" w:hAnsi="Arial" w:eastAsia="黑体" w:cs="Arial"/>
      </w:rPr>
      <w:t xml:space="preserve">2×600MW机组     </w:t>
    </w:r>
    <w:r>
      <w:rPr>
        <w:rFonts w:hint="eastAsia" w:ascii="Arial" w:hAnsi="Arial" w:eastAsia="黑体" w:cs="Arial"/>
      </w:rPr>
      <w:t xml:space="preserve">              </w:t>
    </w:r>
    <w:r>
      <w:rPr>
        <w:rFonts w:hint="eastAsia" w:ascii="宋体" w:hAnsi="宋体"/>
        <w:u w:val="single"/>
      </w:rPr>
      <w:t>2×600MW机组室外设备防腐技术规范</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6"/>
      <w:jc w:val="both"/>
      <w:rPr>
        <w:rFonts w:hint="eastAsia"/>
      </w:rPr>
    </w:pPr>
    <w:r>
      <w:rPr>
        <w:rFonts w:ascii="Arial" w:hAnsi="Arial" w:eastAsia="黑体" w:cs="Arial"/>
      </w:rPr>
      <w:t>四川</w:t>
    </w:r>
    <w:r>
      <w:rPr>
        <w:rFonts w:hint="eastAsia" w:ascii="Arial" w:hAnsi="Arial" w:eastAsia="黑体" w:cs="Arial"/>
      </w:rPr>
      <w:t>泸州川南发电有限公司</w:t>
    </w:r>
    <w:r>
      <w:rPr>
        <w:rFonts w:ascii="Arial" w:hAnsi="Arial" w:eastAsia="黑体" w:cs="Arial"/>
      </w:rPr>
      <w:t xml:space="preserve">2×600MW机组     </w:t>
    </w:r>
    <w:r>
      <w:rPr>
        <w:rFonts w:hint="eastAsia" w:ascii="Arial" w:hAnsi="Arial" w:eastAsia="黑体" w:cs="Arial"/>
      </w:rPr>
      <w:t xml:space="preserve">  </w:t>
    </w:r>
    <w:r>
      <w:rPr>
        <w:rFonts w:ascii="Arial" w:hAnsi="Arial" w:eastAsia="黑体" w:cs="Arial"/>
      </w:rPr>
      <w:t xml:space="preserve">              </w:t>
    </w:r>
    <w:r>
      <w:rPr>
        <w:rFonts w:hint="eastAsia" w:ascii="Arial" w:hAnsi="Arial" w:eastAsia="黑体" w:cs="Arial"/>
      </w:rPr>
      <w:t xml:space="preserve"> </w:t>
    </w:r>
    <w:r>
      <w:rPr>
        <w:rFonts w:hint="eastAsia" w:ascii="宋体" w:hAnsi="宋体"/>
        <w:u w:val="single"/>
      </w:rPr>
      <w:t>2×600MW机组室外设备防腐技术规范</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42EBE"/>
    <w:multiLevelType w:val="singleLevel"/>
    <w:tmpl w:val="E1942EBE"/>
    <w:lvl w:ilvl="0" w:tentative="0">
      <w:start w:val="1"/>
      <w:numFmt w:val="decimal"/>
      <w:lvlText w:val="%1"/>
      <w:lvlJc w:val="left"/>
      <w:pPr>
        <w:tabs>
          <w:tab w:val="left" w:pos="420"/>
        </w:tabs>
        <w:ind w:left="425" w:leftChars="0" w:hanging="425" w:firstLineChars="0"/>
      </w:pPr>
      <w:rPr>
        <w:rFonts w:hint="default"/>
        <w:b w:val="0"/>
        <w:bCs w:val="0"/>
        <w:color w:val="auto"/>
      </w:rPr>
    </w:lvl>
  </w:abstractNum>
  <w:abstractNum w:abstractNumId="1">
    <w:nsid w:val="0381251C"/>
    <w:multiLevelType w:val="multilevel"/>
    <w:tmpl w:val="038125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DF42C7"/>
    <w:multiLevelType w:val="multilevel"/>
    <w:tmpl w:val="03DF42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DB4CF4"/>
    <w:multiLevelType w:val="multilevel"/>
    <w:tmpl w:val="0CDB4C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1B2FAC"/>
    <w:multiLevelType w:val="multilevel"/>
    <w:tmpl w:val="161B2FAC"/>
    <w:lvl w:ilvl="0" w:tentative="0">
      <w:start w:val="1"/>
      <w:numFmt w:val="decimal"/>
      <w:lvlText w:val="%1"/>
      <w:lvlJc w:val="left"/>
      <w:pPr>
        <w:tabs>
          <w:tab w:val="left" w:pos="432"/>
        </w:tabs>
        <w:ind w:left="432" w:hanging="432"/>
      </w:pPr>
      <w:rPr>
        <w:rFonts w:hint="eastAsia"/>
      </w:rPr>
    </w:lvl>
    <w:lvl w:ilvl="1" w:tentative="0">
      <w:start w:val="1"/>
      <w:numFmt w:val="decimal"/>
      <w:suff w:val="nothing"/>
      <w:lvlText w:val="%1、%2"/>
      <w:lvlJc w:val="left"/>
      <w:pPr>
        <w:ind w:left="0" w:firstLine="0"/>
      </w:pPr>
      <w:rPr>
        <w:rFonts w:hint="eastAsia"/>
      </w:rPr>
    </w:lvl>
    <w:lvl w:ilvl="2" w:tentative="0">
      <w:start w:val="1"/>
      <w:numFmt w:val="decimal"/>
      <w:pStyle w:val="4"/>
      <w:isLgl/>
      <w:suff w:val="nothing"/>
      <w:lvlText w:val="3.%2.%3"/>
      <w:lvlJc w:val="left"/>
      <w:pPr>
        <w:ind w:left="720" w:hanging="720"/>
      </w:pPr>
      <w:rPr>
        <w:rFonts w:hint="eastAsia" w:ascii="仿宋_GB2312" w:hAnsi="仿宋" w:eastAsia="仿宋_GB2312" w:cs="Times New Roman"/>
        <w:b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19A91499"/>
    <w:multiLevelType w:val="multilevel"/>
    <w:tmpl w:val="19A91499"/>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1A59110A"/>
    <w:multiLevelType w:val="multilevel"/>
    <w:tmpl w:val="1A5911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A9037B"/>
    <w:multiLevelType w:val="multilevel"/>
    <w:tmpl w:val="37A9037B"/>
    <w:lvl w:ilvl="0" w:tentative="0">
      <w:start w:val="1"/>
      <w:numFmt w:val="chineseCountingThousand"/>
      <w:pStyle w:val="2"/>
      <w:suff w:val="nothing"/>
      <w:lvlText w:val="%1、"/>
      <w:lvlJc w:val="left"/>
      <w:pPr>
        <w:ind w:left="420" w:hanging="420"/>
      </w:pPr>
      <w:rPr>
        <w:rFonts w:hint="eastAsia"/>
      </w:rPr>
    </w:lvl>
    <w:lvl w:ilvl="1" w:tentative="0">
      <w:start w:val="1"/>
      <w:numFmt w:val="decimal"/>
      <w:suff w:val="nothing"/>
      <w:lvlText w:val="%1.%2."/>
      <w:lvlJc w:val="left"/>
      <w:pPr>
        <w:ind w:left="1170" w:hanging="960"/>
      </w:pPr>
      <w:rPr>
        <w:rFonts w:hint="default"/>
      </w:rPr>
    </w:lvl>
    <w:lvl w:ilvl="2" w:tentative="0">
      <w:start w:val="1"/>
      <w:numFmt w:val="decimal"/>
      <w:isLgl/>
      <w:lvlText w:val="%1.%2.%3."/>
      <w:lvlJc w:val="left"/>
      <w:pPr>
        <w:tabs>
          <w:tab w:val="left" w:pos="1380"/>
        </w:tabs>
        <w:ind w:left="1380" w:hanging="960"/>
      </w:pPr>
      <w:rPr>
        <w:rFonts w:hint="default"/>
        <w:b w:val="0"/>
        <w:bCs w:val="0"/>
        <w:i w:val="0"/>
        <w:iCs w:val="0"/>
        <w:caps w:val="0"/>
        <w:smallCaps w:val="0"/>
        <w:strike w:val="0"/>
        <w:dstrike w:val="0"/>
        <w:vanish w:val="0"/>
        <w:spacing w:val="0"/>
        <w:position w:val="0"/>
        <w:u w:val="none"/>
        <w:vertAlign w:val="baseline"/>
      </w:rPr>
    </w:lvl>
    <w:lvl w:ilvl="3" w:tentative="0">
      <w:start w:val="1"/>
      <w:numFmt w:val="decimal"/>
      <w:isLgl/>
      <w:lvlText w:val="%1.%2.%3.%4."/>
      <w:lvlJc w:val="left"/>
      <w:pPr>
        <w:tabs>
          <w:tab w:val="left" w:pos="1710"/>
        </w:tabs>
        <w:ind w:left="1710" w:hanging="1080"/>
      </w:pPr>
      <w:rPr>
        <w:rFonts w:hint="default"/>
      </w:rPr>
    </w:lvl>
    <w:lvl w:ilvl="4" w:tentative="0">
      <w:start w:val="1"/>
      <w:numFmt w:val="decimal"/>
      <w:isLgl/>
      <w:lvlText w:val="%1.%2.%3.%4.%5."/>
      <w:lvlJc w:val="left"/>
      <w:pPr>
        <w:tabs>
          <w:tab w:val="left" w:pos="2280"/>
        </w:tabs>
        <w:ind w:left="2280" w:hanging="1440"/>
      </w:pPr>
      <w:rPr>
        <w:rFonts w:hint="default"/>
      </w:rPr>
    </w:lvl>
    <w:lvl w:ilvl="5" w:tentative="0">
      <w:start w:val="1"/>
      <w:numFmt w:val="decimal"/>
      <w:isLgl/>
      <w:lvlText w:val="%1.%2.%3.%4.%5.%6."/>
      <w:lvlJc w:val="left"/>
      <w:pPr>
        <w:tabs>
          <w:tab w:val="left" w:pos="2490"/>
        </w:tabs>
        <w:ind w:left="2490" w:hanging="1440"/>
      </w:pPr>
      <w:rPr>
        <w:rFonts w:hint="default"/>
      </w:rPr>
    </w:lvl>
    <w:lvl w:ilvl="6" w:tentative="0">
      <w:start w:val="1"/>
      <w:numFmt w:val="decimal"/>
      <w:isLgl/>
      <w:lvlText w:val="%1.%2.%3.%4.%5.%6.%7."/>
      <w:lvlJc w:val="left"/>
      <w:pPr>
        <w:tabs>
          <w:tab w:val="left" w:pos="3060"/>
        </w:tabs>
        <w:ind w:left="3060" w:hanging="1800"/>
      </w:pPr>
      <w:rPr>
        <w:rFonts w:hint="default"/>
      </w:rPr>
    </w:lvl>
    <w:lvl w:ilvl="7" w:tentative="0">
      <w:start w:val="1"/>
      <w:numFmt w:val="decimal"/>
      <w:isLgl/>
      <w:lvlText w:val="%1.%2.%3.%4.%5.%6.%7.%8."/>
      <w:lvlJc w:val="left"/>
      <w:pPr>
        <w:tabs>
          <w:tab w:val="left" w:pos="3630"/>
        </w:tabs>
        <w:ind w:left="3630" w:hanging="2160"/>
      </w:pPr>
      <w:rPr>
        <w:rFonts w:hint="default"/>
      </w:rPr>
    </w:lvl>
    <w:lvl w:ilvl="8" w:tentative="0">
      <w:start w:val="1"/>
      <w:numFmt w:val="decimal"/>
      <w:isLgl/>
      <w:lvlText w:val="%1.%2.%3.%4.%5.%6.%7.%8.%9."/>
      <w:lvlJc w:val="left"/>
      <w:pPr>
        <w:tabs>
          <w:tab w:val="left" w:pos="3840"/>
        </w:tabs>
        <w:ind w:left="3840" w:hanging="2160"/>
      </w:pPr>
      <w:rPr>
        <w:rFonts w:hint="default"/>
      </w:rPr>
    </w:lvl>
  </w:abstractNum>
  <w:abstractNum w:abstractNumId="8">
    <w:nsid w:val="493C44B3"/>
    <w:multiLevelType w:val="multilevel"/>
    <w:tmpl w:val="493C44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05A49D5"/>
    <w:multiLevelType w:val="multilevel"/>
    <w:tmpl w:val="505A49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4326A1"/>
    <w:multiLevelType w:val="multilevel"/>
    <w:tmpl w:val="6C4326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87E4DBA"/>
    <w:multiLevelType w:val="multilevel"/>
    <w:tmpl w:val="787E4D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4"/>
  </w:num>
  <w:num w:numId="3">
    <w:abstractNumId w:val="8"/>
  </w:num>
  <w:num w:numId="4">
    <w:abstractNumId w:val="11"/>
  </w:num>
  <w:num w:numId="5">
    <w:abstractNumId w:val="0"/>
  </w:num>
  <w:num w:numId="6">
    <w:abstractNumId w:val="6"/>
  </w:num>
  <w:num w:numId="7">
    <w:abstractNumId w:val="1"/>
  </w:num>
  <w:num w:numId="8">
    <w:abstractNumId w:val="9"/>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YmIxZDA0ZmJlNzBhNTdiYTA0YjIzMDBjYmQzNGIifQ=="/>
  </w:docVars>
  <w:rsids>
    <w:rsidRoot w:val="78C77CA8"/>
    <w:rsid w:val="005B3FA4"/>
    <w:rsid w:val="009D04B6"/>
    <w:rsid w:val="00B64660"/>
    <w:rsid w:val="00E06F6C"/>
    <w:rsid w:val="01474B49"/>
    <w:rsid w:val="01721E21"/>
    <w:rsid w:val="01D64322"/>
    <w:rsid w:val="020254B8"/>
    <w:rsid w:val="02263AA3"/>
    <w:rsid w:val="022A54A9"/>
    <w:rsid w:val="02522CBE"/>
    <w:rsid w:val="029B141C"/>
    <w:rsid w:val="02CD2724"/>
    <w:rsid w:val="03132E8F"/>
    <w:rsid w:val="031A075A"/>
    <w:rsid w:val="034A6E41"/>
    <w:rsid w:val="035B2B08"/>
    <w:rsid w:val="039B1981"/>
    <w:rsid w:val="043A1A59"/>
    <w:rsid w:val="0492441D"/>
    <w:rsid w:val="04B545D8"/>
    <w:rsid w:val="05572169"/>
    <w:rsid w:val="05AC67D3"/>
    <w:rsid w:val="05B846F6"/>
    <w:rsid w:val="05BA2EB8"/>
    <w:rsid w:val="05C84674"/>
    <w:rsid w:val="0648625E"/>
    <w:rsid w:val="07E12AFC"/>
    <w:rsid w:val="07E95EC7"/>
    <w:rsid w:val="07F92E63"/>
    <w:rsid w:val="08EC3C9C"/>
    <w:rsid w:val="092D401B"/>
    <w:rsid w:val="0A923A06"/>
    <w:rsid w:val="0AB944A3"/>
    <w:rsid w:val="0AC800B8"/>
    <w:rsid w:val="0AD54780"/>
    <w:rsid w:val="0B3C7F97"/>
    <w:rsid w:val="0B8B0E74"/>
    <w:rsid w:val="0C4D04AB"/>
    <w:rsid w:val="0C61460D"/>
    <w:rsid w:val="0C640A9F"/>
    <w:rsid w:val="0CDB3DB9"/>
    <w:rsid w:val="0D66415B"/>
    <w:rsid w:val="0D8433E5"/>
    <w:rsid w:val="0DD06AB7"/>
    <w:rsid w:val="0EB878A3"/>
    <w:rsid w:val="0EC2535F"/>
    <w:rsid w:val="0F143A26"/>
    <w:rsid w:val="101E7180"/>
    <w:rsid w:val="10E5408B"/>
    <w:rsid w:val="10F063CB"/>
    <w:rsid w:val="115F7210"/>
    <w:rsid w:val="11A2261C"/>
    <w:rsid w:val="11BD17A8"/>
    <w:rsid w:val="11FC4B10"/>
    <w:rsid w:val="125B79D7"/>
    <w:rsid w:val="12A43537"/>
    <w:rsid w:val="12AB4A23"/>
    <w:rsid w:val="12E77F91"/>
    <w:rsid w:val="131961E1"/>
    <w:rsid w:val="135D0B70"/>
    <w:rsid w:val="135D1254"/>
    <w:rsid w:val="136B5C95"/>
    <w:rsid w:val="13B81BCF"/>
    <w:rsid w:val="13D00E41"/>
    <w:rsid w:val="150D1EEA"/>
    <w:rsid w:val="155E776E"/>
    <w:rsid w:val="15B449EC"/>
    <w:rsid w:val="15CB20E8"/>
    <w:rsid w:val="161476B2"/>
    <w:rsid w:val="16323B6E"/>
    <w:rsid w:val="164F594E"/>
    <w:rsid w:val="16A87FBD"/>
    <w:rsid w:val="171C7676"/>
    <w:rsid w:val="17283B34"/>
    <w:rsid w:val="173E453E"/>
    <w:rsid w:val="175A07E0"/>
    <w:rsid w:val="180A788B"/>
    <w:rsid w:val="182A7EFF"/>
    <w:rsid w:val="183F1D57"/>
    <w:rsid w:val="184547F5"/>
    <w:rsid w:val="186D2F42"/>
    <w:rsid w:val="18F639C7"/>
    <w:rsid w:val="195639F3"/>
    <w:rsid w:val="1A5262B4"/>
    <w:rsid w:val="1AC21C5E"/>
    <w:rsid w:val="1BD00F30"/>
    <w:rsid w:val="1BD877BE"/>
    <w:rsid w:val="1C177904"/>
    <w:rsid w:val="1C20460E"/>
    <w:rsid w:val="1C2D1545"/>
    <w:rsid w:val="1C670671"/>
    <w:rsid w:val="1C714FD3"/>
    <w:rsid w:val="1C724620"/>
    <w:rsid w:val="1C86660C"/>
    <w:rsid w:val="1C8A13E1"/>
    <w:rsid w:val="1D116D3C"/>
    <w:rsid w:val="1DA2548D"/>
    <w:rsid w:val="1DDD0595"/>
    <w:rsid w:val="1DEB44A1"/>
    <w:rsid w:val="1E135665"/>
    <w:rsid w:val="1E171AD6"/>
    <w:rsid w:val="1E17406B"/>
    <w:rsid w:val="1E634BB5"/>
    <w:rsid w:val="1E6A6427"/>
    <w:rsid w:val="1F034E9C"/>
    <w:rsid w:val="1F3A7CBB"/>
    <w:rsid w:val="1F884C38"/>
    <w:rsid w:val="1FAB1EEC"/>
    <w:rsid w:val="1FE74C78"/>
    <w:rsid w:val="1FEB2228"/>
    <w:rsid w:val="1FFA7A84"/>
    <w:rsid w:val="201651FF"/>
    <w:rsid w:val="201A4EAA"/>
    <w:rsid w:val="20577E1E"/>
    <w:rsid w:val="20DA36E2"/>
    <w:rsid w:val="20FB57B7"/>
    <w:rsid w:val="21004DB3"/>
    <w:rsid w:val="214068F6"/>
    <w:rsid w:val="214F7E95"/>
    <w:rsid w:val="21B91FE3"/>
    <w:rsid w:val="2218551C"/>
    <w:rsid w:val="22E177BF"/>
    <w:rsid w:val="234671EC"/>
    <w:rsid w:val="23547489"/>
    <w:rsid w:val="24710ED7"/>
    <w:rsid w:val="24E70C5C"/>
    <w:rsid w:val="250A7DD1"/>
    <w:rsid w:val="25CC640B"/>
    <w:rsid w:val="2617288D"/>
    <w:rsid w:val="263C5FC5"/>
    <w:rsid w:val="26A265FE"/>
    <w:rsid w:val="26D71646"/>
    <w:rsid w:val="27066213"/>
    <w:rsid w:val="27A41D16"/>
    <w:rsid w:val="28A009A6"/>
    <w:rsid w:val="28C4427A"/>
    <w:rsid w:val="28E11768"/>
    <w:rsid w:val="28E36FB3"/>
    <w:rsid w:val="29270A3D"/>
    <w:rsid w:val="29713987"/>
    <w:rsid w:val="29870361"/>
    <w:rsid w:val="29D60CAE"/>
    <w:rsid w:val="2A6F1D6B"/>
    <w:rsid w:val="2A7B3DD5"/>
    <w:rsid w:val="2B0C7785"/>
    <w:rsid w:val="2B355467"/>
    <w:rsid w:val="2BFB05B2"/>
    <w:rsid w:val="2BFF2253"/>
    <w:rsid w:val="2C477F88"/>
    <w:rsid w:val="2D66108E"/>
    <w:rsid w:val="2D875686"/>
    <w:rsid w:val="2E1229C4"/>
    <w:rsid w:val="2E5C629D"/>
    <w:rsid w:val="2E6D6944"/>
    <w:rsid w:val="2EE46107"/>
    <w:rsid w:val="2F780429"/>
    <w:rsid w:val="2F7F157A"/>
    <w:rsid w:val="2FB05D16"/>
    <w:rsid w:val="30181A4A"/>
    <w:rsid w:val="307D196A"/>
    <w:rsid w:val="30A718EA"/>
    <w:rsid w:val="30AE2E2E"/>
    <w:rsid w:val="31083783"/>
    <w:rsid w:val="3115220C"/>
    <w:rsid w:val="314406B3"/>
    <w:rsid w:val="318E71E3"/>
    <w:rsid w:val="3235790C"/>
    <w:rsid w:val="334920FC"/>
    <w:rsid w:val="33546DEC"/>
    <w:rsid w:val="33CD2D0E"/>
    <w:rsid w:val="34DE5A9F"/>
    <w:rsid w:val="35004100"/>
    <w:rsid w:val="35050325"/>
    <w:rsid w:val="35573B04"/>
    <w:rsid w:val="358064FF"/>
    <w:rsid w:val="359F29EC"/>
    <w:rsid w:val="35E244A3"/>
    <w:rsid w:val="369076EF"/>
    <w:rsid w:val="36A757A3"/>
    <w:rsid w:val="36CA3770"/>
    <w:rsid w:val="36DF5E80"/>
    <w:rsid w:val="37196B2C"/>
    <w:rsid w:val="37961BBF"/>
    <w:rsid w:val="38C20CA4"/>
    <w:rsid w:val="38DA3357"/>
    <w:rsid w:val="391D2220"/>
    <w:rsid w:val="39A57F58"/>
    <w:rsid w:val="39E21744"/>
    <w:rsid w:val="3A1363B1"/>
    <w:rsid w:val="3A304EA4"/>
    <w:rsid w:val="3AA4494C"/>
    <w:rsid w:val="3B621842"/>
    <w:rsid w:val="3B7C3623"/>
    <w:rsid w:val="3B7E4A28"/>
    <w:rsid w:val="3BAB67F1"/>
    <w:rsid w:val="3BB64669"/>
    <w:rsid w:val="3C753C62"/>
    <w:rsid w:val="3C763272"/>
    <w:rsid w:val="3CDD0126"/>
    <w:rsid w:val="3D0047E8"/>
    <w:rsid w:val="3D4F6914"/>
    <w:rsid w:val="3D5877B1"/>
    <w:rsid w:val="3D5D7342"/>
    <w:rsid w:val="3DF40CB5"/>
    <w:rsid w:val="3E1C0297"/>
    <w:rsid w:val="3E5E705F"/>
    <w:rsid w:val="3E6C795A"/>
    <w:rsid w:val="3EC34805"/>
    <w:rsid w:val="3EC96126"/>
    <w:rsid w:val="3ED84BE4"/>
    <w:rsid w:val="3F811D83"/>
    <w:rsid w:val="3FF842FD"/>
    <w:rsid w:val="408908EE"/>
    <w:rsid w:val="40BF20FD"/>
    <w:rsid w:val="40CD40DB"/>
    <w:rsid w:val="40DC0A6A"/>
    <w:rsid w:val="414B6020"/>
    <w:rsid w:val="41B55E5D"/>
    <w:rsid w:val="41F8770C"/>
    <w:rsid w:val="42340929"/>
    <w:rsid w:val="423E1D39"/>
    <w:rsid w:val="425A0B69"/>
    <w:rsid w:val="42A95037"/>
    <w:rsid w:val="42C434FD"/>
    <w:rsid w:val="432B33EC"/>
    <w:rsid w:val="433370CA"/>
    <w:rsid w:val="43B75A15"/>
    <w:rsid w:val="43D02BB3"/>
    <w:rsid w:val="440B6331"/>
    <w:rsid w:val="44B567CA"/>
    <w:rsid w:val="45350D4D"/>
    <w:rsid w:val="458B1CA5"/>
    <w:rsid w:val="4652367A"/>
    <w:rsid w:val="47CD40E7"/>
    <w:rsid w:val="481B3A82"/>
    <w:rsid w:val="48483876"/>
    <w:rsid w:val="484A35B2"/>
    <w:rsid w:val="48BD4AAC"/>
    <w:rsid w:val="492D1E54"/>
    <w:rsid w:val="4A154318"/>
    <w:rsid w:val="4A563B77"/>
    <w:rsid w:val="4A8658D0"/>
    <w:rsid w:val="4B261E5C"/>
    <w:rsid w:val="4B5168C6"/>
    <w:rsid w:val="4B675224"/>
    <w:rsid w:val="4B903383"/>
    <w:rsid w:val="4B9F639D"/>
    <w:rsid w:val="4C28014E"/>
    <w:rsid w:val="4C545E87"/>
    <w:rsid w:val="4CEA2B3C"/>
    <w:rsid w:val="4CFA088B"/>
    <w:rsid w:val="4DAF57C5"/>
    <w:rsid w:val="4DBC14A9"/>
    <w:rsid w:val="4DD33326"/>
    <w:rsid w:val="4E3575F7"/>
    <w:rsid w:val="4EC14837"/>
    <w:rsid w:val="4ED6266E"/>
    <w:rsid w:val="4F6D24CB"/>
    <w:rsid w:val="4FC70F02"/>
    <w:rsid w:val="4FCE7535"/>
    <w:rsid w:val="508D1982"/>
    <w:rsid w:val="50AF4DF9"/>
    <w:rsid w:val="5182092E"/>
    <w:rsid w:val="52450FE6"/>
    <w:rsid w:val="52475C52"/>
    <w:rsid w:val="525A582C"/>
    <w:rsid w:val="528F2E75"/>
    <w:rsid w:val="52A33FAB"/>
    <w:rsid w:val="52BE684A"/>
    <w:rsid w:val="531A6AF1"/>
    <w:rsid w:val="539A6C1C"/>
    <w:rsid w:val="55054D9F"/>
    <w:rsid w:val="5559469D"/>
    <w:rsid w:val="559E09FF"/>
    <w:rsid w:val="55CF27EE"/>
    <w:rsid w:val="55DB3C7C"/>
    <w:rsid w:val="5600344C"/>
    <w:rsid w:val="564A221E"/>
    <w:rsid w:val="564B0DAA"/>
    <w:rsid w:val="56AF259B"/>
    <w:rsid w:val="56E93713"/>
    <w:rsid w:val="573C4ACC"/>
    <w:rsid w:val="57853F68"/>
    <w:rsid w:val="57A747D4"/>
    <w:rsid w:val="57B015D2"/>
    <w:rsid w:val="57CB73BD"/>
    <w:rsid w:val="57DD4B49"/>
    <w:rsid w:val="583D6A3D"/>
    <w:rsid w:val="5872092A"/>
    <w:rsid w:val="58A2595D"/>
    <w:rsid w:val="58C56513"/>
    <w:rsid w:val="59425727"/>
    <w:rsid w:val="59614183"/>
    <w:rsid w:val="59F50A8B"/>
    <w:rsid w:val="5A422FDB"/>
    <w:rsid w:val="5A5C296B"/>
    <w:rsid w:val="5A6F4EA9"/>
    <w:rsid w:val="5A7B2EFD"/>
    <w:rsid w:val="5B247596"/>
    <w:rsid w:val="5B724585"/>
    <w:rsid w:val="5BAC1147"/>
    <w:rsid w:val="5C457A17"/>
    <w:rsid w:val="5C864257"/>
    <w:rsid w:val="5D285487"/>
    <w:rsid w:val="5D2C60D5"/>
    <w:rsid w:val="5DA70C30"/>
    <w:rsid w:val="5DBF659B"/>
    <w:rsid w:val="5E014BAA"/>
    <w:rsid w:val="5E0241F6"/>
    <w:rsid w:val="5E3D1B97"/>
    <w:rsid w:val="5E4332B3"/>
    <w:rsid w:val="5E581F9F"/>
    <w:rsid w:val="5E7B13D5"/>
    <w:rsid w:val="5E8A12E2"/>
    <w:rsid w:val="5ED32A60"/>
    <w:rsid w:val="5F1F77F8"/>
    <w:rsid w:val="5F5D3690"/>
    <w:rsid w:val="60106D27"/>
    <w:rsid w:val="6042276E"/>
    <w:rsid w:val="60461F43"/>
    <w:rsid w:val="606A5F4F"/>
    <w:rsid w:val="60710EA2"/>
    <w:rsid w:val="60761250"/>
    <w:rsid w:val="60DE2FF8"/>
    <w:rsid w:val="60EF442D"/>
    <w:rsid w:val="61151B82"/>
    <w:rsid w:val="614A2EBF"/>
    <w:rsid w:val="61893E10"/>
    <w:rsid w:val="62020858"/>
    <w:rsid w:val="6240283F"/>
    <w:rsid w:val="626173CC"/>
    <w:rsid w:val="62A628C3"/>
    <w:rsid w:val="62ED63C0"/>
    <w:rsid w:val="634B465E"/>
    <w:rsid w:val="634D4DBF"/>
    <w:rsid w:val="64526DA7"/>
    <w:rsid w:val="6515062E"/>
    <w:rsid w:val="659041FD"/>
    <w:rsid w:val="660829E6"/>
    <w:rsid w:val="665C428F"/>
    <w:rsid w:val="66D70CA2"/>
    <w:rsid w:val="673E44FD"/>
    <w:rsid w:val="67760836"/>
    <w:rsid w:val="678F4CF3"/>
    <w:rsid w:val="6798333E"/>
    <w:rsid w:val="67B711D7"/>
    <w:rsid w:val="67D82EAE"/>
    <w:rsid w:val="685974BA"/>
    <w:rsid w:val="68DD7A12"/>
    <w:rsid w:val="6926728F"/>
    <w:rsid w:val="692D4916"/>
    <w:rsid w:val="6966263E"/>
    <w:rsid w:val="69756114"/>
    <w:rsid w:val="69966E53"/>
    <w:rsid w:val="69D306AC"/>
    <w:rsid w:val="6A226BA8"/>
    <w:rsid w:val="6A3938D4"/>
    <w:rsid w:val="6A4A7AAA"/>
    <w:rsid w:val="6A9774F1"/>
    <w:rsid w:val="6AC87BB0"/>
    <w:rsid w:val="6AFE647A"/>
    <w:rsid w:val="6B8A04D3"/>
    <w:rsid w:val="6C053E44"/>
    <w:rsid w:val="6C185219"/>
    <w:rsid w:val="6C2B1F28"/>
    <w:rsid w:val="6C411B7B"/>
    <w:rsid w:val="6CCA5013"/>
    <w:rsid w:val="6D247DE5"/>
    <w:rsid w:val="6D2C5DF7"/>
    <w:rsid w:val="6D8C7C61"/>
    <w:rsid w:val="6DB400D2"/>
    <w:rsid w:val="6DB5394D"/>
    <w:rsid w:val="6DDE3F0D"/>
    <w:rsid w:val="6DE613DD"/>
    <w:rsid w:val="6EB420D5"/>
    <w:rsid w:val="6FD0517F"/>
    <w:rsid w:val="6FD1176F"/>
    <w:rsid w:val="70661DFF"/>
    <w:rsid w:val="70A8578A"/>
    <w:rsid w:val="70AC514F"/>
    <w:rsid w:val="711112F6"/>
    <w:rsid w:val="71B12F77"/>
    <w:rsid w:val="72000C97"/>
    <w:rsid w:val="72320EB8"/>
    <w:rsid w:val="72360312"/>
    <w:rsid w:val="72453989"/>
    <w:rsid w:val="72692021"/>
    <w:rsid w:val="726D011B"/>
    <w:rsid w:val="726E6E00"/>
    <w:rsid w:val="73E3638A"/>
    <w:rsid w:val="73E76C60"/>
    <w:rsid w:val="74321EB0"/>
    <w:rsid w:val="746016FA"/>
    <w:rsid w:val="75057C8A"/>
    <w:rsid w:val="75114771"/>
    <w:rsid w:val="75C20A84"/>
    <w:rsid w:val="762F1B4E"/>
    <w:rsid w:val="76394804"/>
    <w:rsid w:val="76645A4A"/>
    <w:rsid w:val="76D707F8"/>
    <w:rsid w:val="76EF49BA"/>
    <w:rsid w:val="77344F3D"/>
    <w:rsid w:val="77353B5A"/>
    <w:rsid w:val="7781259C"/>
    <w:rsid w:val="77BF45F5"/>
    <w:rsid w:val="77CE5B33"/>
    <w:rsid w:val="77E011ED"/>
    <w:rsid w:val="77F03ED5"/>
    <w:rsid w:val="78C77CA8"/>
    <w:rsid w:val="791E0D99"/>
    <w:rsid w:val="7953636E"/>
    <w:rsid w:val="79BD0489"/>
    <w:rsid w:val="7A047166"/>
    <w:rsid w:val="7A196C77"/>
    <w:rsid w:val="7A4C7490"/>
    <w:rsid w:val="7A503403"/>
    <w:rsid w:val="7A7975B2"/>
    <w:rsid w:val="7B9300CE"/>
    <w:rsid w:val="7BB6435E"/>
    <w:rsid w:val="7BCF171F"/>
    <w:rsid w:val="7BCF216F"/>
    <w:rsid w:val="7BFE58F9"/>
    <w:rsid w:val="7C3631B0"/>
    <w:rsid w:val="7C92616D"/>
    <w:rsid w:val="7CD1219B"/>
    <w:rsid w:val="7D076C19"/>
    <w:rsid w:val="7D2B5066"/>
    <w:rsid w:val="7E4F463C"/>
    <w:rsid w:val="7F7A6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numPr>
        <w:ilvl w:val="0"/>
        <w:numId w:val="1"/>
      </w:numPr>
      <w:spacing w:line="500" w:lineRule="exact"/>
      <w:outlineLvl w:val="0"/>
    </w:pPr>
    <w:rPr>
      <w:b/>
      <w:bCs/>
      <w:kern w:val="44"/>
      <w:sz w:val="24"/>
      <w:szCs w:val="44"/>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paragraph" w:styleId="4">
    <w:name w:val="heading 3"/>
    <w:basedOn w:val="1"/>
    <w:next w:val="1"/>
    <w:qFormat/>
    <w:uiPriority w:val="0"/>
    <w:pPr>
      <w:keepNext/>
      <w:keepLines/>
      <w:numPr>
        <w:ilvl w:val="2"/>
        <w:numId w:val="2"/>
      </w:numPr>
      <w:spacing w:line="500" w:lineRule="exact"/>
      <w:outlineLvl w:val="2"/>
    </w:pPr>
    <w:rPr>
      <w:rFonts w:ascii="宋体"/>
      <w:bCs/>
      <w:sz w:val="24"/>
      <w:szCs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djustRightInd w:val="0"/>
      <w:spacing w:line="360" w:lineRule="atLeast"/>
      <w:ind w:firstLine="420"/>
      <w:jc w:val="left"/>
      <w:textAlignment w:val="baseline"/>
    </w:pPr>
    <w:rPr>
      <w:kern w:val="0"/>
      <w:sz w:val="24"/>
      <w:szCs w:val="24"/>
    </w:rPr>
  </w:style>
  <w:style w:type="paragraph" w:styleId="6">
    <w:name w:val="Plain Text"/>
    <w:basedOn w:val="1"/>
    <w:qFormat/>
    <w:uiPriority w:val="0"/>
    <w:pPr>
      <w:adjustRightInd w:val="0"/>
      <w:spacing w:line="312" w:lineRule="atLeast"/>
    </w:pPr>
    <w:rPr>
      <w:rFonts w:ascii="宋体" w:hAnsi="Courier New" w:cs="宋体"/>
      <w:kern w:val="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qFormat/>
    <w:uiPriority w:val="99"/>
    <w:rPr>
      <w:color w:val="0000FF"/>
      <w:u w:val="single"/>
    </w:rPr>
  </w:style>
  <w:style w:type="paragraph" w:customStyle="1" w:styleId="16">
    <w:name w:val="List Paragraph"/>
    <w:basedOn w:val="1"/>
    <w:qFormat/>
    <w:uiPriority w:val="34"/>
    <w:pPr>
      <w:ind w:firstLine="420" w:firstLineChars="200"/>
    </w:pPr>
    <w:rPr>
      <w:rFonts w:ascii="Calibri" w:hAnsi="Calibri"/>
      <w:szCs w:val="22"/>
    </w:rPr>
  </w:style>
  <w:style w:type="character" w:customStyle="1" w:styleId="17">
    <w:name w:val="font151"/>
    <w:basedOn w:val="12"/>
    <w:qFormat/>
    <w:uiPriority w:val="0"/>
    <w:rPr>
      <w:rFonts w:ascii="Calibri" w:hAnsi="Calibri" w:cs="Calibri"/>
      <w:b/>
      <w:bCs/>
      <w:color w:val="000000"/>
      <w:sz w:val="21"/>
      <w:szCs w:val="21"/>
      <w:u w:val="none"/>
    </w:rPr>
  </w:style>
  <w:style w:type="character" w:customStyle="1" w:styleId="18">
    <w:name w:val="font21"/>
    <w:basedOn w:val="12"/>
    <w:qFormat/>
    <w:uiPriority w:val="0"/>
    <w:rPr>
      <w:rFonts w:hint="default" w:ascii="仿宋_GB2312" w:eastAsia="仿宋_GB2312" w:cs="仿宋_GB2312"/>
      <w:b/>
      <w:bCs/>
      <w:color w:val="000000"/>
      <w:sz w:val="21"/>
      <w:szCs w:val="21"/>
      <w:u w:val="none"/>
    </w:rPr>
  </w:style>
  <w:style w:type="character" w:customStyle="1" w:styleId="19">
    <w:name w:val="font131"/>
    <w:basedOn w:val="12"/>
    <w:qFormat/>
    <w:uiPriority w:val="0"/>
    <w:rPr>
      <w:rFonts w:hint="eastAsia" w:ascii="宋体" w:hAnsi="宋体" w:eastAsia="宋体" w:cs="宋体"/>
      <w:b/>
      <w:bCs/>
      <w:color w:val="000000"/>
      <w:sz w:val="24"/>
      <w:szCs w:val="24"/>
      <w:u w:val="none"/>
    </w:rPr>
  </w:style>
  <w:style w:type="character" w:customStyle="1" w:styleId="20">
    <w:name w:val="font01"/>
    <w:basedOn w:val="12"/>
    <w:qFormat/>
    <w:uiPriority w:val="0"/>
    <w:rPr>
      <w:rFonts w:hint="eastAsia" w:ascii="宋体" w:hAnsi="宋体" w:eastAsia="宋体" w:cs="宋体"/>
      <w:color w:val="000000"/>
      <w:sz w:val="24"/>
      <w:szCs w:val="24"/>
      <w:u w:val="none"/>
    </w:rPr>
  </w:style>
  <w:style w:type="character" w:customStyle="1" w:styleId="21">
    <w:name w:val="font91"/>
    <w:basedOn w:val="12"/>
    <w:qFormat/>
    <w:uiPriority w:val="0"/>
    <w:rPr>
      <w:rFonts w:ascii="Calibri" w:hAnsi="Calibri" w:cs="Calibri"/>
      <w:b/>
      <w:bCs/>
      <w:color w:val="000000"/>
      <w:sz w:val="21"/>
      <w:szCs w:val="21"/>
      <w:u w:val="none"/>
    </w:rPr>
  </w:style>
  <w:style w:type="character" w:customStyle="1" w:styleId="22">
    <w:name w:val="font101"/>
    <w:basedOn w:val="12"/>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25669</Words>
  <Characters>28405</Characters>
  <Lines>0</Lines>
  <Paragraphs>0</Paragraphs>
  <TotalTime>70</TotalTime>
  <ScaleCrop>false</ScaleCrop>
  <LinksUpToDate>false</LinksUpToDate>
  <CharactersWithSpaces>29186</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2021-02-19T06:33:00Z</dcterms:created>
  <dc:creator>伍畇有</dc:creator>
  <cp:lastModifiedBy>刘继行</cp:lastModifiedBy>
  <cp:lastPrinted>2023-04-21T01:34:00Z</cp:lastPrinted>
  <dcterms:modified xsi:type="dcterms:W3CDTF">2024-04-17T05:36:19Z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85D7F31A9BFC4C64AACB9BD36FA08230_13</vt:lpwstr>
  </property>
</Properties>
</file>