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2024年室内、外设备防腐项目报价单</w:t>
      </w:r>
    </w:p>
    <w:tbl>
      <w:tblPr>
        <w:tblStyle w:val="7"/>
        <w:tblW w:w="97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jc w:val="center"/>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jc w:val="center"/>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2024年室内、外设备防腐</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2024年室内、外设备防腐项目</w:t>
            </w:r>
            <w:r>
              <w:rPr>
                <w:rFonts w:hint="eastAsia" w:ascii="仿宋_GB2312" w:hAnsi="仿宋_GB2312" w:eastAsia="仿宋_GB2312" w:cs="仿宋_GB2312"/>
                <w:bCs/>
                <w:color w:val="auto"/>
                <w:sz w:val="24"/>
                <w:highlight w:val="none"/>
                <w:lang w:val="en-US" w:eastAsia="zh-CN"/>
              </w:rPr>
              <w:t>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jc w:val="center"/>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color w:val="FF0000"/>
                <w:sz w:val="24"/>
                <w:highlight w:val="none"/>
              </w:rPr>
              <w:t>2024年室内、外设备防腐项目</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6" w:hRule="atLeast"/>
          <w:jc w:val="center"/>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color w:val="FF0000"/>
          <w:sz w:val="24"/>
          <w:lang w:val="en-US" w:eastAsia="zh-CN"/>
        </w:rPr>
        <w:t>综合含税总价中包含安全文明施工费（该费用为固定价，为综合含税总报价的2.5%）</w:t>
      </w:r>
      <w:r>
        <w:rPr>
          <w:rFonts w:hint="eastAsia" w:ascii="仿宋_GB2312" w:hAnsi="仿宋_GB2312" w:eastAsia="仿宋_GB2312" w:cs="仿宋_GB2312"/>
          <w:sz w:val="24"/>
          <w:lang w:val="en-US" w:eastAsia="zh-CN"/>
        </w:rPr>
        <w:t>，合同履行期间，乙方应按照此项报价足额投入安全文明施工费。</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b w:val="0"/>
          <w:bCs w:val="0"/>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技术</w:t>
      </w:r>
      <w:r>
        <w:rPr>
          <w:rFonts w:hint="eastAsia" w:ascii="仿宋_GB2312" w:hAnsi="仿宋_GB2312" w:eastAsia="仿宋_GB2312" w:cs="仿宋_GB2312"/>
          <w:sz w:val="24"/>
          <w:lang w:eastAsia="zh-CN"/>
        </w:rPr>
        <w:t>规范书》</w:t>
      </w:r>
      <w:r>
        <w:rPr>
          <w:rFonts w:hint="eastAsia" w:ascii="仿宋_GB2312" w:hAnsi="仿宋_GB2312" w:eastAsia="仿宋_GB2312" w:cs="仿宋_GB2312"/>
          <w:sz w:val="24"/>
        </w:rPr>
        <w:t>。</w:t>
      </w:r>
    </w:p>
    <w:p>
      <w:pPr>
        <w:keepNext w:val="0"/>
        <w:keepLines w:val="0"/>
        <w:pageBreakBefore w:val="0"/>
        <w:widowControl w:val="0"/>
        <w:numPr>
          <w:ilvl w:val="0"/>
          <w:numId w:val="0"/>
        </w:numPr>
        <w:kinsoku/>
        <w:wordWrap/>
        <w:overflowPunct/>
        <w:topLinePunct w:val="0"/>
        <w:autoSpaceDE/>
        <w:autoSpaceDN/>
        <w:bidi w:val="0"/>
        <w:snapToGrid/>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4、法定代表人亲自报价的，应提供法定代表人身份证明，非报价单位法定代表人亲自报价的，应提供授权委托书（经法定代表人签字并加盖公司公章，授权范围应至少包括报价、谈判、签订合同）。</w:t>
      </w:r>
    </w:p>
    <w:p>
      <w:pPr>
        <w:pStyle w:val="2"/>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5、本报价单标注的实质性条款为项目合同的主要条款，若中选，报价人不得要求对实质性条款作出实质性修改，否则川南发电公司有权取消其中选资格并有权不返还报价保证金。</w:t>
      </w:r>
    </w:p>
    <w:p>
      <w:pPr>
        <w:pStyle w:val="2"/>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sz w:val="24"/>
          <w:lang w:val="en-US" w:eastAsia="zh-CN"/>
        </w:rPr>
        <w:t>报价人未按要求比例填报安全文明施工费的，应在谈判中进行调整，经谈判仍不调整的，川南发电公司有权废除其报价资格。</w:t>
      </w:r>
    </w:p>
    <w:p>
      <w:pPr>
        <w:pStyle w:val="2"/>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2024年室内、外设备防腐项目</w:t>
      </w:r>
      <w:r>
        <w:rPr>
          <w:rFonts w:hint="eastAsia" w:ascii="仿宋_GB2312" w:hAnsi="仿宋_GB2312" w:eastAsia="仿宋_GB2312" w:cs="仿宋_GB2312"/>
          <w:sz w:val="24"/>
          <w:lang w:eastAsia="zh-CN"/>
        </w:rPr>
        <w:t>报价明细表（</w:t>
      </w:r>
      <w:r>
        <w:rPr>
          <w:rFonts w:hint="eastAsia" w:ascii="仿宋_GB2312" w:hAnsi="仿宋_GB2312" w:eastAsia="仿宋_GB2312" w:cs="仿宋_GB2312"/>
          <w:b/>
          <w:bCs w:val="0"/>
          <w:sz w:val="24"/>
          <w:lang w:eastAsia="zh-CN"/>
        </w:rPr>
        <w:t>所有单价均含税</w:t>
      </w:r>
      <w:r>
        <w:rPr>
          <w:rFonts w:hint="eastAsia" w:ascii="仿宋_GB2312" w:hAnsi="仿宋_GB2312" w:eastAsia="仿宋_GB2312" w:cs="仿宋_GB2312"/>
          <w:sz w:val="24"/>
          <w:lang w:eastAsia="zh-CN"/>
        </w:rPr>
        <w:t>）</w:t>
      </w:r>
    </w:p>
    <w:tbl>
      <w:tblPr>
        <w:tblStyle w:val="7"/>
        <w:tblW w:w="975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70"/>
        <w:gridCol w:w="2085"/>
        <w:gridCol w:w="2085"/>
        <w:gridCol w:w="1065"/>
        <w:gridCol w:w="750"/>
        <w:gridCol w:w="106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i w:val="0"/>
                <w:iCs w:val="0"/>
                <w:color w:val="000000"/>
                <w:kern w:val="0"/>
                <w:sz w:val="24"/>
                <w:szCs w:val="24"/>
                <w:u w:val="none"/>
                <w:lang w:val="en-US" w:eastAsia="zh-CN" w:bidi="ar"/>
              </w:rPr>
              <w:t>系统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i w:val="0"/>
                <w:iCs w:val="0"/>
                <w:color w:val="000000"/>
                <w:kern w:val="0"/>
                <w:sz w:val="24"/>
                <w:szCs w:val="24"/>
                <w:u w:val="none"/>
                <w:lang w:val="en-US" w:eastAsia="zh-CN" w:bidi="ar"/>
              </w:rPr>
              <w:t>设备名称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规格型号</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i w:val="0"/>
                <w:iCs w:val="0"/>
                <w:color w:val="000000"/>
                <w:kern w:val="0"/>
                <w:sz w:val="24"/>
                <w:szCs w:val="24"/>
                <w:u w:val="none"/>
                <w:lang w:val="en-US" w:eastAsia="zh-CN" w:bidi="ar"/>
              </w:rPr>
              <w:t>估算面积(m</w:t>
            </w:r>
            <w:r>
              <w:rPr>
                <w:rStyle w:val="14"/>
                <w:rFonts w:hint="eastAsia" w:ascii="仿宋_GB2312" w:hAnsi="仿宋_GB2312" w:eastAsia="仿宋_GB2312" w:cs="仿宋_GB2312"/>
                <w:sz w:val="24"/>
                <w:szCs w:val="24"/>
                <w:lang w:val="en-US" w:eastAsia="zh-CN" w:bidi="ar"/>
              </w:rPr>
              <w:t>²</w:t>
            </w:r>
            <w:r>
              <w:rPr>
                <w:rFonts w:hint="eastAsia" w:ascii="仿宋_GB2312" w:hAnsi="仿宋_GB2312" w:eastAsia="仿宋_GB2312" w:cs="仿宋_GB2312"/>
                <w:b/>
                <w:bCs/>
                <w:i w:val="0"/>
                <w:iCs w:val="0"/>
                <w:color w:val="000000"/>
                <w:kern w:val="0"/>
                <w:sz w:val="24"/>
                <w:szCs w:val="24"/>
                <w:u w:val="none"/>
                <w:lang w:val="en-US" w:eastAsia="zh-CN" w:bidi="ar"/>
              </w:rPr>
              <w:t>)</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含税单价</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含税</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合价</w:t>
            </w: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#1炉一级吸收塔</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φ16.8米，高14m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#1、2炉一级塔石膏排出泵至#1\2脱水机、#3\4脱水机、事故搅拌器（综合管架上）</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φ273mm，长100m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抽滤水至废水管道</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φ108mm，长90m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滤液水系统B至#1、2吸收塔管道</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φ200mm，长95m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#2石灰石浆液箱至#1、2一级吸收塔给浆管道</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φ159mm，长100m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#1石灰石浆液箱至1、2一级塔给浆管道</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φ125mm，长100m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工艺水至吸收塔等用水管道</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φ89,100m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#1机组脱硫吸收塔给浆操作平台至吸收塔标高40.5m扶梯平台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（1）更换钢格栅板25㎡</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（2）更换280×800mm踏步板15块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（3）更换200×800mm踏步板40块 （4）更换φ32栏杆50m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（5）更换φ25栏杆60m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（6）更换#10踢脚板30m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520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#1机组脱硫吸收塔Z字扶梯至给浆平台天桥标高16.6m平台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（1）更换钢格栅板2.8㎡    （2）更换#16槽钢8m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（3）更换φ32栏杆15m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（4）更换φ25栏杆20m     （5）防腐10㎡</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#1机组脱硫吸收塔Z字扶梯至托盘层人孔天桥标高19.5m平台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（1）更换钢格栅板2.8㎡    （2）更换#16槽钢8m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（3）更换φ32栏杆15m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（4）更换φ25栏杆20m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#1机组脱硫吸收塔靠锅炉侧GGH平台至一级塔氧化风支管冲洗水平台天桥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（1）更换钢格栅板3.6㎡    （2）更换#16槽钢15m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#1机组脱硫吸收塔氧化风支管冲洗水平台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（1）更换钢格栅板8㎡</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（2）更换#10槽钢10m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#1机组脱硫原烟道A、B侧13.2m至23.3m扶梯平台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（2）更换200</w:t>
            </w:r>
            <w:r>
              <w:rPr>
                <w:rStyle w:val="15"/>
                <w:rFonts w:hint="eastAsia" w:ascii="仿宋_GB2312" w:hAnsi="仿宋_GB2312" w:eastAsia="仿宋_GB2312" w:cs="仿宋_GB2312"/>
                <w:sz w:val="24"/>
                <w:szCs w:val="24"/>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800mm踏步板5块（3）更换φ32栏杆20m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（4）更换φ25栏杆40m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180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#1机组脱硫净烟道A、B侧13.2m至23.3m扶梯平台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（2）更换200×800mm踏步板5块（3）更换φ32栏杆20m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（4）更换φ25栏杆40m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#2机组脱硫吸收塔靠锅炉侧GGH平台至一级塔氧化风支管冲洗水平台天桥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（1）更换钢格栅板3.6㎡     （2）更换#16槽钢15m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#2机组脱硫吸收塔氧化风支管冲洗水平台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（1）更换钢格栅板4㎡</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（2）更换#10槽钢10m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#2机组脱硫原烟道A、B侧13.2m至23.3m扶梯平台及顶部平台延伸4m</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（1）更换钢格栅板40㎡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（2）更换200×800mm踏步板60块（3）更换φ32栏杆60m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（4）更换φ25栏杆80m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（5）更换#10踢脚板30m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（6）更换#16槽钢40m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#2机组脱硫净烟道A、B侧13.2m至23.3m扶梯平台及顶部平台延伸4m</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（1）更换钢格栅板5㎡</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（2）更换200×800mm踏步板10块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（3）更换φ32栏杆20m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（4）更换φ25栏杆40m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（5）更换#10踢脚板5m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（6）更换#16槽钢18m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220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#3、#4石膏旋流站操作平台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（1）更换树脂格栅板30㎡   （2）更换φ32栏杆12m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（3）更换φ25栏杆24m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（4）更换#10踢脚板4m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（5）更换#16槽钢24m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脱硫综合管架操作平台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更换钢格栅板25㎡</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#3、#4斗提机顶部减速机平台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（1）更换钢格栅板18㎡     （2）需更换#16槽钢42m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color w:val="FF0000"/>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#1、#2斗提机顶部平台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（1）更换φ32栏杆12m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（2）更换φ25栏杆24m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sz w:val="24"/>
                <w:szCs w:val="24"/>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脱硫（机务二队）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#1、#2斗提机顶部减速机平台</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（1）更换钢格栅板18㎡          （2）需更换#16槽钢42m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除灰（机务二队）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#1炉、#2炉电除尘振打平台中部网格板下方支撑</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槽钢120*60mm，两台炉共160m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除灰（机务二队）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#1炉、#2炉电除尘标高0米至灰斗平台A\B侧方梁、斜撑</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横梁250*185mm，两台炉共120m，斜撑260*65mm,两台炉共100m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除灰（机务二队）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原除灰控制楼靠烟囱侧楼梯</w:t>
            </w:r>
          </w:p>
        </w:tc>
        <w:tc>
          <w:tcPr>
            <w:tcW w:w="208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汽包水位、压力变送取样管（1#、2#机组）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总长576米，管外径16mm。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28.9</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过热器二级减温水流量变送器取样管（1#、2#机组）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总长128米，管外径16mm。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高温（300℃）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再热器减温水流量变送器取样管（1#、2#机组）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总长160米，管外径16mm。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高温（300℃）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空预器风压变送器取样管（1#、2#机组）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总长120米，管外径16mm。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高压调节阀后蒸汽压力取样管（1#机组）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总长250米，管外径16mm。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12.57</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高压调节级后蒸汽压力取样管（1#机组）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总长200米，管外径16mm。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10.05</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热工</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主汽压力取样管（1#机组）</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总长80米，管外径16mm。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4.02</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高温（500℃）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电气</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主变围栏、升压站围栏</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围栏总长度900米，高1.5米；围栏支柱210个，单个面积0.5m²</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1550</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防锈底漆，面漆为珍珠白色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综合管理部</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两辆消防车水箱内壁防腐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水箱容积6+3m³</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玻璃钢（环氧树脂+玻璃丝布）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#2A、B皮带支架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槽钢8#:93m;7#:217m;10#:186m;工字钢14b:207m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270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#3A、B皮带头部滚筒支架、皮带支架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槽钢8#:17m;7#:40m;10#:35m;工字钢14b:38m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#4A、B皮带头部滚筒支架、尾部滚筒支架、皮带支架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槽钢8#:86m;7#:201m;10#:173m;工字钢14b:192m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#5A尾部滚筒支架、尾部皮带支架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槽钢8#:16m;7#:36m;10#:31m;工字钢14b:35m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#5A头部滚筒支架、头部皮带支架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槽钢8#:41m;7#:97m;10#:83m;工字钢14b:92m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#5B头部滚筒支架、头部皮带支架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槽钢8#:26m;7#:60m;10#:52m;工字钢14b:58m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#5B尾部滚筒支架、尾部皮带支架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槽钢8#:48m;7#:113m;10#:97m;工字钢14b:107m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#6A尾部滚筒支架、尾部皮带支架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槽钢8#:26m;7#:60m;10#:52m;工字钢14b:58m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#6A头部滚筒支架、头部皮带支架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槽钢8#:26m;7#:60m;10#:52m;工字钢14b:58m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#6B尾部滚筒支架、尾部皮带支架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槽钢8#:14m;7#:32m;10#:28m;工字钢14b:31m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#7A尾部滚筒支架、尾部皮带支架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槽钢8#:14m;7#:32m;10#:28m;工字钢14b:31m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#7A头部滚筒支架、头部皮带支架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槽钢8#:14m;7#:32m;10#:28m;工字钢14b:31m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#7B尾部滚筒支架、尾部皮带支架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槽钢8#:14m;7#:32m;10#:28m;工字钢14b:31m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#8A头部机脚、头部滚筒支架、头部皮带支架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槽钢8#:14m;7#:32m;10#:28m;工字钢14b:31m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#8B头部机脚、头部滚筒支架、头部皮带支架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槽钢8#:21m;7#:48m;10#:41m;工字钢工字钢14b:46m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#9A尾部滚筒支架、尾部皮带支架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槽钢8#:41m;7#:97m;10#:83m;工字钢工字钢14b:92m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#9B中间冲水区域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槽钢8#:26m;7#:60m;10#:52m;工字钢工字钢14b:58m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#10A尾部滚筒支架、尾部皮带支架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槽钢8#:16m;7#:36m;10#:31m;工字钢工字钢14b:35m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24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#10B尾部滚筒支架、尾部皮带支架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槽钢8#:16m;7#:36m;10#:31m;工字钢工字钢14b:35m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A/B活化给煤机支架</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工字钢40#A，74米</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B斗轮机整体防腐。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斗轮机型号：DQ1500/1500·35型</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翻车机B中间栏杆防腐。吊装口栏杆防腐。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FZ1-2B“C”DN:50管子；300米</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1号栈桥移动头平台、栏杆防腐。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平台长：10米 宽8米；DN:50管道；400米</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FF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输煤（机务一队）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11A皮带室外支架、栏杆及尾部涨紧小车防腐。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槽钢8#:16m;7#:36m;10#:31m;工字钢14b:100m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化水（机务一队）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沉沙池进出口管道，及排污管道防腐。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DN800管道约45米</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115</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化水（机务一队）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11B皮带室外支架、栏杆及尾部涨紧小车防腐。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槽钢8#:16m;7#:36m;10#:31m;工字钢14b:100m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化水（机务一队）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工业废水酸罐罐体及支撑架防腐。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罐体直径约2500mm*7000mm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危险化学品、易燃易爆区域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化水（机务一队）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综合水泵房至捞渣机处T型路口工业水母管。</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DN500*150m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235</w:t>
            </w: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底漆两遍，三油两布，工业水母管防腐需要制定专项施工方案。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化水（机务一队）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工业废水压缩空气罐及支撑脚防腐。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立式罐体（大）：直径1500mm*3600mm；小管：直径800mm*2000mm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keepNext w:val="0"/>
              <w:keepLines w:val="0"/>
              <w:widowControl/>
              <w:numPr>
                <w:ilvl w:val="0"/>
                <w:numId w:val="1"/>
              </w:numPr>
              <w:suppressLineNumbers w:val="0"/>
              <w:spacing w:before="0" w:beforeAutospacing="0" w:after="0" w:afterAutospacing="0"/>
              <w:ind w:left="425" w:leftChars="0" w:right="0" w:hanging="425"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化水（机务一队）</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含油废水收集池区域栏杆、罐体、管道、地面盖板防腐。</w:t>
            </w:r>
          </w:p>
        </w:tc>
        <w:tc>
          <w:tcPr>
            <w:tcW w:w="20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Φ61mm*80m；Φ90mm*18m；扁铁30mm*90m；铁板400mm*3m</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5820" w:type="dxa"/>
            <w:gridSpan w:val="4"/>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合计（即综合含税总价）</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0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pStyle w:val="2"/>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sz w:val="24"/>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p>
    <w:p>
      <w:pPr>
        <w:numPr>
          <w:ilvl w:val="0"/>
          <w:numId w:val="2"/>
        </w:numPr>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报价保证金</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报价保证金为¥0.8万元（捌仟元整），到账截止时间为2024年4月22日10:00，报价保证金应在到账截止时间前存入川南发电公司基本账户。</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户名:四川泸州川南发电有限责任公司 </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开户银行：工行泸州江阳支行</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账号：2304343119122102403</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报价人须以自己的账户名义将报价保证金存入以上账户，非报价人账户存入的，视为未提交报价保证金。</w:t>
      </w:r>
      <w:bookmarkStart w:id="11" w:name="_GoBack"/>
      <w:bookmarkEnd w:id="11"/>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川南发电公司在与中选单位签订合同且履约保证金已提交后30日内退还中选单位及未中选单位报价押金（无息）。中选单位在川南发电公司发出中选通知书的15日内不与川南发电公司签订书面合同或签订书面合同过程中对项目实质性条款提出变更的，川南发电公司有权按照项目评审排名选择与下一顺位报价人签订书面合同或根据项目情况重新采购。</w:t>
      </w:r>
    </w:p>
    <w:p>
      <w:pPr>
        <w:pStyle w:val="4"/>
        <w:keepNext w:val="0"/>
        <w:keepLines w:val="0"/>
        <w:pageBreakBefore w:val="0"/>
        <w:widowControl w:val="0"/>
        <w:numPr>
          <w:ilvl w:val="0"/>
          <w:numId w:val="0"/>
        </w:numPr>
        <w:kinsoku/>
        <w:wordWrap/>
        <w:overflowPunct/>
        <w:topLinePunct w:val="0"/>
        <w:autoSpaceDE/>
        <w:autoSpaceDN/>
        <w:bidi w:val="0"/>
        <w:snapToGrid/>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1.1本项目书面合同签订后，乙方向甲方开具合同含税金额的10%的收据后30日内，甲方向乙方支付合同金额10%的预付款（含项目的安全文明施工费）；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1.2合同项目全部竣工验收合格并办理结算完毕，乙方向甲方提交</w:t>
      </w:r>
      <w:r>
        <w:rPr>
          <w:rFonts w:hint="eastAsia" w:ascii="仿宋_GB2312" w:hAnsi="仿宋_GB2312" w:eastAsia="仿宋_GB2312" w:cs="仿宋_GB2312"/>
          <w:sz w:val="24"/>
          <w:lang w:eastAsia="zh-CN"/>
        </w:rPr>
        <w:t>付款申请单</w:t>
      </w:r>
      <w:r>
        <w:rPr>
          <w:rFonts w:hint="eastAsia" w:ascii="仿宋_GB2312" w:hAnsi="仿宋_GB2312" w:eastAsia="仿宋_GB2312" w:cs="仿宋_GB2312"/>
          <w:sz w:val="24"/>
          <w:szCs w:val="24"/>
          <w:lang w:val="en-US" w:eastAsia="zh-CN"/>
        </w:rPr>
        <w:t>和开具合同结算金额100%的增值税专用发票后的30日内，甲方向乙方支付至合同金额的95％；【结算价=综合含税单价×实际施工工程量，其中实际施工工程量不超过预计施工面积，超出部分不在本项目合同中进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_GB2312" w:hAnsi="仿宋_GB2312" w:eastAsia="仿宋_GB2312" w:cs="仿宋_GB2312"/>
          <w:sz w:val="24"/>
          <w:szCs w:val="24"/>
          <w:lang w:val="en-US" w:eastAsia="zh-CN"/>
        </w:rPr>
        <w:t>1.3合同结算金额剩余5%为质保金，质保期</w:t>
      </w:r>
      <w:r>
        <w:rPr>
          <w:rFonts w:hint="eastAsia" w:ascii="仿宋_GB2312" w:hAnsi="仿宋_GB2312" w:eastAsia="仿宋_GB2312" w:cs="仿宋_GB2312"/>
          <w:sz w:val="24"/>
          <w:szCs w:val="24"/>
          <w:highlight w:val="none"/>
          <w:lang w:val="en-US" w:eastAsia="zh-CN"/>
        </w:rPr>
        <w:t>满三年</w:t>
      </w:r>
      <w:r>
        <w:rPr>
          <w:rFonts w:hint="eastAsia" w:ascii="仿宋_GB2312" w:hAnsi="仿宋_GB2312" w:eastAsia="仿宋_GB2312" w:cs="仿宋_GB2312"/>
          <w:sz w:val="24"/>
          <w:szCs w:val="24"/>
          <w:lang w:val="en-US" w:eastAsia="zh-CN"/>
        </w:rPr>
        <w:t>，甲方向乙方提交付款申请并开具合同结算金额5%的收据后30日内，甲方向乙方支付质保金。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材料费、检查费、脚手架搭拆费、维修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乙方应无条件满足甲方对工期的要求且不因工期调整而增加费用</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szCs w:val="24"/>
          <w:lang w:eastAsia="zh-CN"/>
        </w:rPr>
        <w:t>本项目</w:t>
      </w:r>
      <w:r>
        <w:rPr>
          <w:rFonts w:hint="eastAsia" w:ascii="仿宋_GB2312" w:hAnsi="仿宋_GB2312" w:eastAsia="仿宋_GB2312" w:cs="仿宋_GB2312"/>
          <w:sz w:val="24"/>
          <w:lang w:eastAsia="zh-CN"/>
        </w:rPr>
        <w:t>的所有</w:t>
      </w:r>
      <w:r>
        <w:rPr>
          <w:rFonts w:hint="eastAsia" w:ascii="仿宋_GB2312" w:hAnsi="仿宋_GB2312" w:eastAsia="仿宋_GB2312" w:cs="仿宋_GB2312"/>
          <w:sz w:val="24"/>
          <w:lang w:val="en-US" w:eastAsia="zh-CN"/>
        </w:rPr>
        <w:t>工作</w:t>
      </w:r>
      <w:r>
        <w:rPr>
          <w:rFonts w:hint="eastAsia" w:ascii="仿宋_GB2312" w:hAnsi="仿宋_GB2312" w:eastAsia="仿宋_GB2312" w:cs="仿宋_GB2312"/>
          <w:kern w:val="2"/>
          <w:sz w:val="24"/>
          <w:szCs w:val="24"/>
          <w:lang w:eastAsia="zh-CN"/>
        </w:rPr>
        <w:t>需在</w:t>
      </w:r>
      <w:r>
        <w:rPr>
          <w:rFonts w:hint="eastAsia" w:ascii="仿宋_GB2312" w:hAnsi="仿宋_GB2312" w:eastAsia="仿宋_GB2312" w:cs="仿宋_GB2312"/>
          <w:kern w:val="2"/>
          <w:sz w:val="24"/>
          <w:szCs w:val="24"/>
          <w:lang w:val="en-US" w:eastAsia="zh-CN"/>
        </w:rPr>
        <w:t>2024年12月31日前完成</w:t>
      </w:r>
      <w:r>
        <w:rPr>
          <w:rFonts w:hint="eastAsia" w:ascii="仿宋_GB2312" w:hAnsi="仿宋_GB2312" w:eastAsia="仿宋_GB2312" w:cs="仿宋_GB2312"/>
          <w:sz w:val="24"/>
          <w:lang w:val="en-US" w:eastAsia="zh-CN"/>
        </w:rPr>
        <w:t>，具体</w:t>
      </w:r>
      <w:r>
        <w:rPr>
          <w:rFonts w:hint="eastAsia" w:ascii="仿宋_GB2312" w:hAnsi="仿宋_GB2312" w:eastAsia="仿宋_GB2312" w:cs="仿宋_GB2312"/>
          <w:sz w:val="24"/>
          <w:szCs w:val="24"/>
          <w:lang w:val="en-US" w:eastAsia="zh-CN"/>
        </w:rPr>
        <w:t>施工时间</w:t>
      </w:r>
      <w:r>
        <w:rPr>
          <w:rFonts w:hint="eastAsia" w:ascii="仿宋_GB2312" w:hAnsi="仿宋_GB2312" w:eastAsia="仿宋_GB2312" w:cs="仿宋_GB2312"/>
          <w:sz w:val="24"/>
          <w:szCs w:val="24"/>
          <w:lang w:eastAsia="zh-CN"/>
        </w:rPr>
        <w:t>以甲方提前通知为准，乙方应按要求办理入厂手续，参加安全培训，向甲方提供相关资料并进行安全技术交底。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2.工作范围及工作要求：乙方应按照《技术规范书》要求按时、足额提供相应品牌的施工材料，按要求完成施工工作，详见《技术规范书》。</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3.施工人员要求：详见《技术规范书》。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4.质保期：三年</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lang w:val="en-US" w:eastAsia="zh-CN"/>
        </w:rPr>
        <w:t>自项目全部竣工验收之日起算），质保期内施工涂层</w:t>
      </w:r>
      <w:r>
        <w:rPr>
          <w:rFonts w:hint="eastAsia" w:ascii="仿宋_GB2312" w:hAnsi="宋体" w:eastAsia="仿宋_GB2312" w:cs="宋体"/>
          <w:kern w:val="0"/>
          <w:sz w:val="24"/>
          <w:szCs w:val="24"/>
        </w:rPr>
        <w:t>出现质量问题</w:t>
      </w:r>
      <w:r>
        <w:rPr>
          <w:rFonts w:hint="eastAsia" w:ascii="仿宋_GB2312" w:hAnsi="宋体" w:eastAsia="仿宋_GB2312" w:cs="宋体"/>
          <w:kern w:val="0"/>
          <w:sz w:val="24"/>
          <w:szCs w:val="24"/>
          <w:lang w:eastAsia="zh-CN"/>
        </w:rPr>
        <w:t>的</w:t>
      </w: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乙</w:t>
      </w:r>
      <w:r>
        <w:rPr>
          <w:rFonts w:hint="eastAsia" w:ascii="仿宋_GB2312" w:hAnsi="宋体" w:eastAsia="仿宋_GB2312" w:cs="宋体"/>
          <w:kern w:val="0"/>
          <w:sz w:val="24"/>
          <w:szCs w:val="24"/>
        </w:rPr>
        <w:t>方</w:t>
      </w:r>
      <w:r>
        <w:rPr>
          <w:rFonts w:hint="eastAsia" w:ascii="仿宋_GB2312" w:hAnsi="宋体" w:eastAsia="仿宋_GB2312" w:cs="宋体"/>
          <w:kern w:val="0"/>
          <w:sz w:val="24"/>
          <w:szCs w:val="24"/>
          <w:lang w:eastAsia="zh-CN"/>
        </w:rPr>
        <w:t>应</w:t>
      </w:r>
      <w:r>
        <w:rPr>
          <w:rFonts w:hint="eastAsia" w:ascii="仿宋_GB2312" w:hAnsi="宋体" w:eastAsia="仿宋_GB2312" w:cs="宋体"/>
          <w:kern w:val="0"/>
          <w:sz w:val="24"/>
          <w:szCs w:val="24"/>
        </w:rPr>
        <w:t>对有质量问题的涂层进行免费处理</w:t>
      </w:r>
      <w:r>
        <w:rPr>
          <w:rFonts w:hint="eastAsia" w:ascii="仿宋_GB2312" w:hAnsi="宋体" w:eastAsia="仿宋_GB2312" w:cs="宋体"/>
          <w:kern w:val="0"/>
          <w:sz w:val="24"/>
          <w:szCs w:val="24"/>
          <w:lang w:eastAsia="zh-CN"/>
        </w:rPr>
        <w:t>，质保期内</w:t>
      </w:r>
      <w:r>
        <w:rPr>
          <w:rFonts w:hint="eastAsia" w:ascii="仿宋_GB2312" w:hAnsi="宋体" w:eastAsia="仿宋_GB2312" w:cs="宋体"/>
          <w:kern w:val="0"/>
          <w:sz w:val="24"/>
          <w:szCs w:val="24"/>
        </w:rPr>
        <w:t>因涂层质量对</w:t>
      </w:r>
      <w:r>
        <w:rPr>
          <w:rFonts w:hint="eastAsia" w:ascii="仿宋_GB2312" w:hAnsi="宋体" w:eastAsia="仿宋_GB2312" w:cs="宋体"/>
          <w:kern w:val="0"/>
          <w:sz w:val="24"/>
          <w:szCs w:val="24"/>
          <w:lang w:eastAsia="zh-CN"/>
        </w:rPr>
        <w:t>甲</w:t>
      </w:r>
      <w:r>
        <w:rPr>
          <w:rFonts w:hint="eastAsia" w:ascii="仿宋_GB2312" w:hAnsi="宋体" w:eastAsia="仿宋_GB2312" w:cs="宋体"/>
          <w:kern w:val="0"/>
          <w:sz w:val="24"/>
          <w:szCs w:val="24"/>
        </w:rPr>
        <w:t>方造成的所有损失</w:t>
      </w:r>
      <w:r>
        <w:rPr>
          <w:rFonts w:hint="eastAsia" w:ascii="仿宋_GB2312" w:hAnsi="宋体" w:eastAsia="仿宋_GB2312" w:cs="宋体"/>
          <w:kern w:val="0"/>
          <w:sz w:val="24"/>
          <w:szCs w:val="24"/>
          <w:lang w:eastAsia="zh-CN"/>
        </w:rPr>
        <w:t>由乙</w:t>
      </w:r>
      <w:r>
        <w:rPr>
          <w:rFonts w:hint="eastAsia" w:ascii="仿宋_GB2312" w:hAnsi="宋体" w:eastAsia="仿宋_GB2312" w:cs="宋体"/>
          <w:kern w:val="0"/>
          <w:sz w:val="24"/>
          <w:szCs w:val="24"/>
        </w:rPr>
        <w:t>方负责赔偿</w:t>
      </w:r>
      <w:r>
        <w:rPr>
          <w:rFonts w:hint="eastAsia" w:ascii="仿宋_GB2312" w:hAnsi="宋体" w:eastAsia="仿宋_GB2312"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pStyle w:val="4"/>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四、履约保证金（实质性条款）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1.履约保证金额为中选人含税总报价的10%，合同签订后21日之内，乙方应将履约保证金转入甲方账户，履约保证金提交时间与项目开工时间无关。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4.如果乙方未能履行合同并给甲方造成损失,那么履约保证金将作为对这一损失的补偿而支付给甲方。</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以及应由乙方负责的项目供材、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4.乙方应保证项目人员劳动关系、劳务关系合法合规，按《农民工工资支付条例》规定按时足额发放农民工工资，若因此对甲方造成经济、名誉损失的，乙方应承担赔偿责任。</w:t>
      </w:r>
    </w:p>
    <w:p>
      <w:pPr>
        <w:keepNext w:val="0"/>
        <w:keepLines w:val="0"/>
        <w:pageBreakBefore w:val="0"/>
        <w:widowControl w:val="0"/>
        <w:kinsoku/>
        <w:wordWrap/>
        <w:overflowPunct/>
        <w:topLinePunct w:val="0"/>
        <w:autoSpaceDE/>
        <w:autoSpaceDN/>
        <w:bidi w:val="0"/>
        <w:snapToGrid/>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5.其他违约责任详见技术要求。</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六、竞争性谈判纪律</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报价人不得相互串通报价，不得排挤其他报价人公平竞争，不得干扰川南发电公司的评审谈判工作，不得以任何形式打探和搜集评审谈判情况，不得与川南发电公司、同类项目单位串通报价，损害国家利益，社会公共利益或者他人利益。</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 xml:space="preserve">报价人只能通过竞争性谈判公告允许的方式向川南发电公司送达报价文件。 </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严禁报价人向川南发电公司及其工作人员、同类项目单位及其工作人员以行贿的手段谋取中选。</w:t>
      </w:r>
    </w:p>
    <w:p>
      <w:pPr>
        <w:spacing w:line="360" w:lineRule="auto"/>
        <w:ind w:firstLine="481"/>
        <w:rPr>
          <w:rFonts w:hint="default"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4.报价人或中选人违反竞争性谈判纪律，经甲方发现并证实，甲方有权废除其评选资格并有权不返还报价保证金。</w:t>
      </w:r>
    </w:p>
    <w:p>
      <w:pPr>
        <w:keepNext w:val="0"/>
        <w:keepLines w:val="0"/>
        <w:pageBreakBefore w:val="0"/>
        <w:widowControl w:val="0"/>
        <w:kinsoku/>
        <w:wordWrap/>
        <w:overflowPunct/>
        <w:topLinePunct w:val="0"/>
        <w:autoSpaceDE/>
        <w:autoSpaceDN/>
        <w:bidi w:val="0"/>
        <w:snapToGrid/>
        <w:spacing w:line="360" w:lineRule="auto"/>
        <w:ind w:firstLine="0" w:firstLineChars="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七、其他说明（乙方填写）：</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p>
    <w:p>
      <w:pPr>
        <w:keepNext w:val="0"/>
        <w:keepLines w:val="0"/>
        <w:pageBreakBefore w:val="0"/>
        <w:widowControl w:val="0"/>
        <w:kinsoku/>
        <w:wordWrap/>
        <w:overflowPunct/>
        <w:topLinePunct w:val="0"/>
        <w:autoSpaceDE/>
        <w:autoSpaceDN/>
        <w:bidi w:val="0"/>
        <w:snapToGrid/>
        <w:spacing w:line="360" w:lineRule="auto"/>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 </w:t>
      </w:r>
    </w:p>
    <w:p>
      <w:pPr>
        <w:adjustRightInd/>
        <w:snapToGrid/>
        <w:spacing w:line="360" w:lineRule="auto"/>
        <w:ind w:firstLine="3120" w:firstLineChars="1300"/>
        <w:jc w:val="center"/>
        <w:outlineLvl w:val="9"/>
        <w:rPr>
          <w:rFonts w:hint="eastAsia" w:ascii="方正小标宋简体" w:hAnsi="方正小标宋简体" w:eastAsia="方正小标宋简体" w:cs="方正小标宋简体"/>
          <w:bCs/>
          <w:sz w:val="44"/>
          <w:szCs w:val="44"/>
          <w:lang w:val="zh-CN"/>
        </w:rPr>
      </w:pPr>
      <w:r>
        <w:rPr>
          <w:rFonts w:hint="eastAsia" w:ascii="仿宋_GB2312" w:hAnsi="仿宋_GB2312" w:eastAsia="仿宋_GB2312" w:cs="仿宋_GB2312"/>
          <w:sz w:val="24"/>
          <w:szCs w:val="24"/>
          <w:lang w:val="en-US" w:eastAsia="zh-CN"/>
        </w:rPr>
        <w:t xml:space="preserve">                年    月    日   </w:t>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送达</w:t>
      </w: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中选后合同及合同履行资料邮寄地址</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none"/>
        </w:rPr>
        <w:t>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0953751"/>
            <w:bookmarkStart w:id="1" w:name="_Toc466626700"/>
            <w:bookmarkStart w:id="2" w:name="_Toc460953405"/>
            <w:bookmarkStart w:id="3" w:name="_Toc466624757"/>
            <w:bookmarkStart w:id="4" w:name="_Toc466443899"/>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6443900"/>
            <w:bookmarkStart w:id="6" w:name="_Toc466624758"/>
            <w:bookmarkStart w:id="7" w:name="_Toc460953752"/>
            <w:bookmarkStart w:id="8" w:name="_Toc466626701"/>
            <w:bookmarkStart w:id="9" w:name="_Toc460953406"/>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pStyle w:val="2"/>
        <w:ind w:firstLine="3640" w:firstLineChars="1400"/>
        <w:rPr>
          <w:rFonts w:hint="eastAsia"/>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6840" w:firstLineChars="28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pStyle w:val="2"/>
        <w:rPr>
          <w:rFonts w:hint="eastAsia" w:ascii="仿宋_GB2312" w:hAnsi="仿宋_GB2312" w:eastAsia="仿宋_GB2312" w:cs="仿宋_GB2312"/>
          <w:bCs w:val="0"/>
          <w:spacing w:val="0"/>
          <w:kern w:val="2"/>
          <w:sz w:val="24"/>
          <w:lang w:val="en-US"/>
        </w:rPr>
      </w:pPr>
      <w:r>
        <w:rPr>
          <w:rFonts w:hint="eastAsia" w:ascii="仿宋_GB2312" w:hAnsi="仿宋_GB2312" w:eastAsia="仿宋_GB2312" w:cs="仿宋_GB2312"/>
          <w:bCs w:val="0"/>
          <w:spacing w:val="0"/>
          <w:kern w:val="2"/>
          <w:sz w:val="24"/>
          <w:u w:val="none"/>
          <w:lang w:val="en-US" w:eastAsia="zh-CN"/>
        </w:rPr>
        <w:t xml:space="preserve">                                     送达地址：</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bCs w:val="0"/>
          <w:spacing w:val="0"/>
          <w:kern w:val="2"/>
          <w:sz w:val="24"/>
          <w:u w:val="none"/>
          <w:lang w:val="en-US" w:eastAsia="zh-CN"/>
        </w:rPr>
        <w:t>（中选后合同及合同履行资料邮寄地址）</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2024年室内、外设备防腐项目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并响应项目竞争性谈判</w:t>
      </w:r>
      <w:r>
        <w:rPr>
          <w:rFonts w:hint="eastAsia" w:ascii="仿宋_GB2312" w:hAnsi="仿宋_GB2312" w:eastAsia="仿宋_GB2312" w:cs="仿宋_GB2312"/>
          <w:sz w:val="24"/>
          <w:szCs w:val="24"/>
        </w:rPr>
        <w:t>文件要求和</w:t>
      </w:r>
      <w:r>
        <w:rPr>
          <w:rFonts w:hint="eastAsia" w:ascii="仿宋_GB2312" w:hAnsi="仿宋_GB2312" w:eastAsia="仿宋_GB2312" w:cs="仿宋_GB2312"/>
          <w:sz w:val="24"/>
          <w:szCs w:val="24"/>
          <w:lang w:eastAsia="zh-CN"/>
        </w:rPr>
        <w:t>项目《技术规范书》要求</w:t>
      </w:r>
      <w:r>
        <w:rPr>
          <w:rFonts w:hint="eastAsia" w:ascii="仿宋_GB2312" w:hAnsi="仿宋_GB2312" w:eastAsia="仿宋_GB2312" w:cs="仿宋_GB2312"/>
          <w:sz w:val="24"/>
          <w:szCs w:val="24"/>
        </w:rPr>
        <w:t>。我公司同意报价截止之日起90天内本报价一直对我公司具有约束力，并随时被</w:t>
      </w:r>
      <w:r>
        <w:rPr>
          <w:rFonts w:hint="eastAsia" w:ascii="仿宋_GB2312" w:hAnsi="仿宋_GB2312" w:eastAsia="仿宋_GB2312" w:cs="仿宋_GB2312"/>
          <w:sz w:val="24"/>
          <w:szCs w:val="24"/>
          <w:lang w:eastAsia="zh-CN"/>
        </w:rPr>
        <w:t>贵方</w:t>
      </w:r>
      <w:r>
        <w:rPr>
          <w:rFonts w:hint="eastAsia" w:ascii="仿宋_GB2312" w:hAnsi="仿宋_GB2312" w:eastAsia="仿宋_GB2312" w:cs="仿宋_GB2312"/>
          <w:sz w:val="24"/>
          <w:szCs w:val="24"/>
        </w:rPr>
        <w:t>接受。</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1"/>
          <w:numId w:val="0"/>
        </w:numPr>
        <w:kinsoku/>
        <w:wordWrap/>
        <w:overflowPunct/>
        <w:topLinePunct w:val="0"/>
        <w:autoSpaceDE/>
        <w:autoSpaceDN/>
        <w:bidi w:val="0"/>
        <w:adjustRightInd w:val="0"/>
        <w:spacing w:line="360" w:lineRule="auto"/>
        <w:ind w:left="0" w:leftChars="0" w:right="0" w:rightChars="0" w:firstLine="0" w:firstLineChars="0"/>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3"/>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你方</w:t>
      </w:r>
      <w:r>
        <w:rPr>
          <w:rFonts w:hint="eastAsia" w:ascii="仿宋_GB2312" w:hAnsi="仿宋_GB2312" w:eastAsia="仿宋_GB2312" w:cs="仿宋_GB2312"/>
          <w:sz w:val="24"/>
        </w:rPr>
        <w:t>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3"/>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若中选，因我方原因未按竞争性谈判文件要求和《技术规范书》与贵方签订书面合同，贵方有权扣除我方的报价保证金并有权取消我方中选资格。</w:t>
      </w:r>
    </w:p>
    <w:p>
      <w:pPr>
        <w:numPr>
          <w:ilvl w:val="0"/>
          <w:numId w:val="3"/>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rPr>
          <w:rFonts w:hint="default" w:eastAsia="宋体"/>
          <w:lang w:val="zh-CN" w:eastAsia="zh-CN"/>
        </w:rPr>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42EBE"/>
    <w:multiLevelType w:val="singleLevel"/>
    <w:tmpl w:val="E1942EBE"/>
    <w:lvl w:ilvl="0" w:tentative="0">
      <w:start w:val="1"/>
      <w:numFmt w:val="decimal"/>
      <w:lvlText w:val="%1"/>
      <w:lvlJc w:val="left"/>
      <w:pPr>
        <w:tabs>
          <w:tab w:val="left" w:pos="420"/>
        </w:tabs>
        <w:ind w:left="425" w:leftChars="0" w:hanging="425" w:firstLineChars="0"/>
      </w:pPr>
      <w:rPr>
        <w:rFonts w:hint="default"/>
        <w:b w:val="0"/>
        <w:bCs w:val="0"/>
        <w:color w:val="auto"/>
      </w:rPr>
    </w:lvl>
  </w:abstractNum>
  <w:abstractNum w:abstractNumId="1">
    <w:nsid w:val="5D133987"/>
    <w:multiLevelType w:val="singleLevel"/>
    <w:tmpl w:val="5D133987"/>
    <w:lvl w:ilvl="0" w:tentative="0">
      <w:start w:val="1"/>
      <w:numFmt w:val="decimal"/>
      <w:suff w:val="space"/>
      <w:lvlText w:val="%1."/>
      <w:lvlJc w:val="left"/>
    </w:lvl>
  </w:abstractNum>
  <w:abstractNum w:abstractNumId="2">
    <w:nsid w:val="62B12895"/>
    <w:multiLevelType w:val="singleLevel"/>
    <w:tmpl w:val="62B12895"/>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0C774BE"/>
    <w:rsid w:val="0185278D"/>
    <w:rsid w:val="02531003"/>
    <w:rsid w:val="02A727D5"/>
    <w:rsid w:val="02FA7EEB"/>
    <w:rsid w:val="04865E64"/>
    <w:rsid w:val="051B106F"/>
    <w:rsid w:val="051D532A"/>
    <w:rsid w:val="05604538"/>
    <w:rsid w:val="05965135"/>
    <w:rsid w:val="077C2D93"/>
    <w:rsid w:val="0828550C"/>
    <w:rsid w:val="08CF6123"/>
    <w:rsid w:val="09457446"/>
    <w:rsid w:val="0A4C3311"/>
    <w:rsid w:val="0B3F5A01"/>
    <w:rsid w:val="0D2D7DC5"/>
    <w:rsid w:val="0E5D6740"/>
    <w:rsid w:val="108D4FB5"/>
    <w:rsid w:val="110A451B"/>
    <w:rsid w:val="12F422EA"/>
    <w:rsid w:val="15351C43"/>
    <w:rsid w:val="15DF504A"/>
    <w:rsid w:val="165D40DB"/>
    <w:rsid w:val="169D6AA5"/>
    <w:rsid w:val="184665DD"/>
    <w:rsid w:val="1A0F7BE0"/>
    <w:rsid w:val="1C0D284B"/>
    <w:rsid w:val="1C6449AB"/>
    <w:rsid w:val="1CA258D2"/>
    <w:rsid w:val="1CBB5978"/>
    <w:rsid w:val="21036C97"/>
    <w:rsid w:val="21066CBD"/>
    <w:rsid w:val="2183659E"/>
    <w:rsid w:val="252834D7"/>
    <w:rsid w:val="25A847D7"/>
    <w:rsid w:val="26C329A6"/>
    <w:rsid w:val="27AC59D6"/>
    <w:rsid w:val="27E26203"/>
    <w:rsid w:val="28020AF0"/>
    <w:rsid w:val="290C4675"/>
    <w:rsid w:val="2C084BA9"/>
    <w:rsid w:val="2ED6183C"/>
    <w:rsid w:val="3034550A"/>
    <w:rsid w:val="31C91011"/>
    <w:rsid w:val="32864F04"/>
    <w:rsid w:val="33D72415"/>
    <w:rsid w:val="348E1C47"/>
    <w:rsid w:val="34B70B04"/>
    <w:rsid w:val="36DF7C46"/>
    <w:rsid w:val="383724BD"/>
    <w:rsid w:val="38FA143A"/>
    <w:rsid w:val="3B25403C"/>
    <w:rsid w:val="3B3F4030"/>
    <w:rsid w:val="3B8D1698"/>
    <w:rsid w:val="3BC304E2"/>
    <w:rsid w:val="3E736356"/>
    <w:rsid w:val="3EC009AE"/>
    <w:rsid w:val="3F9D5840"/>
    <w:rsid w:val="3FC23F6C"/>
    <w:rsid w:val="3FF366D5"/>
    <w:rsid w:val="406212F8"/>
    <w:rsid w:val="412B4936"/>
    <w:rsid w:val="43A97390"/>
    <w:rsid w:val="455901D1"/>
    <w:rsid w:val="480B6C99"/>
    <w:rsid w:val="496E36C8"/>
    <w:rsid w:val="4B434DA7"/>
    <w:rsid w:val="4B6C74D0"/>
    <w:rsid w:val="4B785CE8"/>
    <w:rsid w:val="4B8A561A"/>
    <w:rsid w:val="4EA25710"/>
    <w:rsid w:val="4EE20E5B"/>
    <w:rsid w:val="4F2C2F93"/>
    <w:rsid w:val="4FA74613"/>
    <w:rsid w:val="4FBF42E5"/>
    <w:rsid w:val="50614361"/>
    <w:rsid w:val="516F13BD"/>
    <w:rsid w:val="53192EF6"/>
    <w:rsid w:val="53BA2E6A"/>
    <w:rsid w:val="54067363"/>
    <w:rsid w:val="54C87530"/>
    <w:rsid w:val="574F64C5"/>
    <w:rsid w:val="57AB0E67"/>
    <w:rsid w:val="5839446F"/>
    <w:rsid w:val="59481887"/>
    <w:rsid w:val="59F5307C"/>
    <w:rsid w:val="5AFC259D"/>
    <w:rsid w:val="5E1E68F7"/>
    <w:rsid w:val="61327432"/>
    <w:rsid w:val="62EE3C5C"/>
    <w:rsid w:val="63A20927"/>
    <w:rsid w:val="63CE26DA"/>
    <w:rsid w:val="659B25C1"/>
    <w:rsid w:val="671237C7"/>
    <w:rsid w:val="685202E1"/>
    <w:rsid w:val="6968159D"/>
    <w:rsid w:val="6C1626E0"/>
    <w:rsid w:val="6D6D2EA1"/>
    <w:rsid w:val="6EAC4723"/>
    <w:rsid w:val="71344A46"/>
    <w:rsid w:val="72CE6D66"/>
    <w:rsid w:val="73B40A19"/>
    <w:rsid w:val="73DD66F5"/>
    <w:rsid w:val="74792624"/>
    <w:rsid w:val="74D81881"/>
    <w:rsid w:val="75032589"/>
    <w:rsid w:val="76E81026"/>
    <w:rsid w:val="77D64548"/>
    <w:rsid w:val="77EE4A15"/>
    <w:rsid w:val="792F355C"/>
    <w:rsid w:val="7ACA7069"/>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61"/>
    <w:basedOn w:val="9"/>
    <w:qFormat/>
    <w:uiPriority w:val="0"/>
    <w:rPr>
      <w:rFonts w:hint="eastAsia" w:ascii="宋体" w:hAnsi="宋体" w:eastAsia="宋体" w:cs="宋体"/>
      <w:color w:val="FF0000"/>
      <w:sz w:val="22"/>
      <w:szCs w:val="22"/>
      <w:u w:val="none"/>
    </w:rPr>
  </w:style>
  <w:style w:type="paragraph" w:customStyle="1" w:styleId="11">
    <w:name w:val=" Char"/>
    <w:basedOn w:val="1"/>
    <w:qFormat/>
    <w:uiPriority w:val="0"/>
  </w:style>
  <w:style w:type="character" w:customStyle="1" w:styleId="12">
    <w:name w:val="15"/>
    <w:basedOn w:val="9"/>
    <w:qFormat/>
    <w:uiPriority w:val="0"/>
    <w:rPr>
      <w:rFonts w:hint="default" w:ascii="Calibri" w:hAnsi="Calibri" w:cs="Calibri"/>
    </w:rPr>
  </w:style>
  <w:style w:type="character" w:customStyle="1" w:styleId="13">
    <w:name w:val="font01"/>
    <w:basedOn w:val="9"/>
    <w:qFormat/>
    <w:uiPriority w:val="0"/>
    <w:rPr>
      <w:rFonts w:hint="eastAsia" w:ascii="宋体" w:hAnsi="宋体" w:eastAsia="宋体" w:cs="宋体"/>
      <w:color w:val="000000"/>
      <w:sz w:val="20"/>
      <w:szCs w:val="20"/>
      <w:u w:val="none"/>
    </w:rPr>
  </w:style>
  <w:style w:type="character" w:customStyle="1" w:styleId="14">
    <w:name w:val="font91"/>
    <w:basedOn w:val="9"/>
    <w:qFormat/>
    <w:uiPriority w:val="0"/>
    <w:rPr>
      <w:rFonts w:ascii="Calibri" w:hAnsi="Calibri" w:cs="Calibri"/>
      <w:b/>
      <w:bCs/>
      <w:color w:val="000000"/>
      <w:sz w:val="21"/>
      <w:szCs w:val="21"/>
      <w:u w:val="none"/>
    </w:rPr>
  </w:style>
  <w:style w:type="character" w:customStyle="1" w:styleId="15">
    <w:name w:val="font101"/>
    <w:basedOn w:val="9"/>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2024-04-17T04:51:19Z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9E52EAF2C071452D9435A0CF85DC34ED</vt:lpwstr>
  </property>
</Properties>
</file>