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宋体" w:hAnsi="宋体" w:eastAsia="宋体" w:cs="宋体"/>
          <w:b/>
          <w:bCs/>
          <w:color w:val="auto"/>
          <w:sz w:val="30"/>
          <w:szCs w:val="30"/>
          <w:highlight w:val="none"/>
          <w:lang w:val="en-US" w:eastAsia="zh-CN"/>
        </w:rPr>
        <w:t xml:space="preserve">   </w:t>
      </w:r>
      <w:r>
        <w:rPr>
          <w:rFonts w:hint="eastAsia" w:ascii="方正小标宋简体" w:hAnsi="方正小标宋简体" w:eastAsia="方正小标宋简体" w:cs="方正小标宋简体"/>
          <w:b/>
          <w:bCs/>
          <w:color w:val="auto"/>
          <w:sz w:val="44"/>
          <w:szCs w:val="44"/>
          <w:highlight w:val="none"/>
        </w:rPr>
        <w:t>评审办法</w:t>
      </w:r>
    </w:p>
    <w:p>
      <w:pPr>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 xml:space="preserve">1  </w:t>
      </w:r>
      <w:r>
        <w:rPr>
          <w:rFonts w:hint="eastAsia" w:ascii="仿宋_GB2312" w:hAnsi="仿宋_GB2312" w:eastAsia="仿宋_GB2312" w:cs="仿宋_GB2312"/>
          <w:b/>
          <w:bCs/>
          <w:color w:val="auto"/>
          <w:sz w:val="24"/>
          <w:szCs w:val="24"/>
          <w:highlight w:val="none"/>
        </w:rPr>
        <w:t>评审机构及成员</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本项目成立评审小组。评审工作由评审小组负责。</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 评审小组共5人,由</w:t>
      </w:r>
      <w:r>
        <w:rPr>
          <w:rFonts w:hint="eastAsia" w:ascii="仿宋_GB2312" w:hAnsi="仿宋_GB2312" w:eastAsia="仿宋_GB2312" w:cs="仿宋_GB2312"/>
          <w:color w:val="auto"/>
          <w:sz w:val="24"/>
          <w:szCs w:val="24"/>
          <w:highlight w:val="none"/>
          <w:lang w:eastAsia="zh-CN"/>
        </w:rPr>
        <w:t>甲方</w:t>
      </w:r>
      <w:r>
        <w:rPr>
          <w:rFonts w:hint="eastAsia" w:ascii="仿宋_GB2312" w:hAnsi="仿宋_GB2312" w:eastAsia="仿宋_GB2312" w:cs="仿宋_GB2312"/>
          <w:color w:val="auto"/>
          <w:sz w:val="24"/>
          <w:szCs w:val="24"/>
          <w:highlight w:val="none"/>
        </w:rPr>
        <w:t>的技术、经济专家组成，另设监</w:t>
      </w:r>
      <w:r>
        <w:rPr>
          <w:rFonts w:hint="eastAsia" w:ascii="仿宋_GB2312" w:hAnsi="仿宋_GB2312" w:eastAsia="仿宋_GB2312" w:cs="仿宋_GB2312"/>
          <w:color w:val="auto"/>
          <w:sz w:val="24"/>
          <w:szCs w:val="24"/>
          <w:highlight w:val="none"/>
          <w:lang w:eastAsia="zh-CN"/>
        </w:rPr>
        <w:t>督</w:t>
      </w:r>
      <w:r>
        <w:rPr>
          <w:rFonts w:hint="eastAsia" w:ascii="仿宋_GB2312" w:hAnsi="仿宋_GB2312" w:eastAsia="仿宋_GB2312" w:cs="仿宋_GB2312"/>
          <w:color w:val="auto"/>
          <w:sz w:val="24"/>
          <w:szCs w:val="24"/>
          <w:highlight w:val="none"/>
        </w:rPr>
        <w:t>组1人。</w:t>
      </w:r>
    </w:p>
    <w:p>
      <w:pPr>
        <w:spacing w:line="360" w:lineRule="auto"/>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val="en-US" w:eastAsia="zh-CN"/>
        </w:rPr>
        <w:t xml:space="preserve">2  </w:t>
      </w:r>
      <w:r>
        <w:rPr>
          <w:rFonts w:hint="eastAsia" w:ascii="仿宋_GB2312" w:hAnsi="仿宋_GB2312" w:eastAsia="仿宋_GB2312" w:cs="仿宋_GB2312"/>
          <w:b/>
          <w:bCs/>
          <w:color w:val="auto"/>
          <w:sz w:val="24"/>
          <w:szCs w:val="24"/>
          <w:highlight w:val="none"/>
        </w:rPr>
        <w:t>评审程序和内容</w:t>
      </w:r>
      <w:r>
        <w:rPr>
          <w:rFonts w:hint="eastAsia" w:ascii="仿宋_GB2312" w:hAnsi="仿宋_GB2312" w:eastAsia="仿宋_GB2312" w:cs="仿宋_GB2312"/>
          <w:b/>
          <w:bCs/>
          <w:color w:val="auto"/>
          <w:sz w:val="24"/>
          <w:szCs w:val="24"/>
          <w:highlight w:val="none"/>
          <w:lang w:eastAsia="zh-CN"/>
        </w:rPr>
        <w:t>（先技术评审，再商务评审）</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2.1 阅读</w:t>
      </w:r>
      <w:r>
        <w:rPr>
          <w:rFonts w:hint="eastAsia" w:ascii="仿宋_GB2312" w:hAnsi="仿宋_GB2312" w:eastAsia="仿宋_GB2312" w:cs="仿宋_GB2312"/>
          <w:color w:val="auto"/>
          <w:sz w:val="24"/>
          <w:szCs w:val="24"/>
          <w:highlight w:val="none"/>
          <w:lang w:eastAsia="zh-CN"/>
        </w:rPr>
        <w:t>竞争性谈判公告</w:t>
      </w:r>
      <w:r>
        <w:rPr>
          <w:rFonts w:hint="eastAsia" w:ascii="仿宋_GB2312" w:hAnsi="仿宋_GB2312" w:eastAsia="仿宋_GB2312" w:cs="仿宋_GB2312"/>
          <w:color w:val="auto"/>
          <w:sz w:val="24"/>
          <w:szCs w:val="24"/>
          <w:highlight w:val="none"/>
        </w:rPr>
        <w:t>及有关资料。</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对证明具备</w:t>
      </w:r>
      <w:r>
        <w:rPr>
          <w:rFonts w:hint="eastAsia" w:ascii="仿宋_GB2312" w:hAnsi="仿宋_GB2312" w:eastAsia="仿宋_GB2312" w:cs="仿宋_GB2312"/>
          <w:color w:val="auto"/>
          <w:sz w:val="24"/>
          <w:szCs w:val="24"/>
          <w:highlight w:val="none"/>
          <w:lang w:eastAsia="zh-CN"/>
        </w:rPr>
        <w:t>竞争性谈判</w:t>
      </w:r>
      <w:r>
        <w:rPr>
          <w:rFonts w:hint="eastAsia" w:ascii="仿宋_GB2312" w:hAnsi="仿宋_GB2312" w:eastAsia="仿宋_GB2312" w:cs="仿宋_GB2312"/>
          <w:color w:val="auto"/>
          <w:sz w:val="24"/>
          <w:szCs w:val="24"/>
          <w:highlight w:val="none"/>
        </w:rPr>
        <w:t>资格的原始文件的复印件（包括营业执照、银行资信证明等）、授权委托书等进行评估。</w:t>
      </w:r>
    </w:p>
    <w:p>
      <w:pPr>
        <w:spacing w:line="36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 xml:space="preserve">2.2 </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文件澄清</w:t>
      </w:r>
      <w:r>
        <w:rPr>
          <w:rFonts w:hint="eastAsia" w:ascii="仿宋_GB2312" w:hAnsi="仿宋_GB2312" w:eastAsia="仿宋_GB2312" w:cs="仿宋_GB2312"/>
          <w:color w:val="auto"/>
          <w:sz w:val="24"/>
          <w:szCs w:val="24"/>
          <w:highlight w:val="none"/>
          <w:lang w:eastAsia="zh-CN"/>
        </w:rPr>
        <w:t>及补正</w:t>
      </w:r>
    </w:p>
    <w:p>
      <w:pPr>
        <w:spacing w:line="360" w:lineRule="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eastAsia="zh-CN"/>
        </w:rPr>
        <w:t>评审专家认为报价人提供的符合性审查资料在形式上存在瑕疵的，应在价格谈判前要求报价人对形式进行补正并补发补正资料，但不得要求报价人提供全新的符合性审查资料或影响其技术</w:t>
      </w:r>
      <w:bookmarkStart w:id="0" w:name="_GoBack"/>
      <w:bookmarkEnd w:id="0"/>
      <w:r>
        <w:rPr>
          <w:rFonts w:hint="eastAsia" w:ascii="仿宋_GB2312" w:hAnsi="仿宋_GB2312" w:eastAsia="仿宋_GB2312" w:cs="仿宋_GB2312"/>
          <w:color w:val="auto"/>
          <w:sz w:val="24"/>
          <w:szCs w:val="24"/>
          <w:highlight w:val="none"/>
          <w:lang w:eastAsia="zh-CN"/>
        </w:rPr>
        <w:t>评审得分的资料。经补正仍不符合竞争性谈判公告要求的，应视为未提供该项资料。</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在必要时，为有助于</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文件的审查、评价和比较，评审小组可以对</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文件有疑问或不清楚的地方进行书面澄清，</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接到评审小组书面澄清问题后，以书面形式将澄清回复</w:t>
      </w:r>
      <w:r>
        <w:rPr>
          <w:rFonts w:hint="eastAsia" w:ascii="仿宋_GB2312" w:hAnsi="仿宋_GB2312" w:eastAsia="仿宋_GB2312" w:cs="仿宋_GB2312"/>
          <w:color w:val="auto"/>
          <w:sz w:val="24"/>
          <w:szCs w:val="24"/>
          <w:highlight w:val="none"/>
          <w:lang w:val="en-US" w:eastAsia="zh-CN"/>
        </w:rPr>
        <w:t>评审组</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澄清回复应有法定代表人或被授权代表人签字</w:t>
      </w:r>
      <w:r>
        <w:rPr>
          <w:rFonts w:hint="eastAsia" w:ascii="仿宋_GB2312" w:hAnsi="仿宋_GB2312" w:eastAsia="仿宋_GB2312" w:cs="仿宋_GB2312"/>
          <w:color w:val="auto"/>
          <w:sz w:val="24"/>
          <w:szCs w:val="24"/>
          <w:highlight w:val="none"/>
          <w:lang w:val="en-US" w:eastAsia="zh-CN"/>
        </w:rPr>
        <w:t>或公章</w:t>
      </w:r>
      <w:r>
        <w:rPr>
          <w:rFonts w:hint="eastAsia" w:ascii="仿宋_GB2312" w:hAnsi="仿宋_GB2312" w:eastAsia="仿宋_GB2312" w:cs="仿宋_GB2312"/>
          <w:color w:val="auto"/>
          <w:sz w:val="24"/>
          <w:szCs w:val="24"/>
          <w:highlight w:val="none"/>
        </w:rPr>
        <w:t>，澄清问题回复作为</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文件的组成部分。</w:t>
      </w:r>
    </w:p>
    <w:p>
      <w:pPr>
        <w:spacing w:line="360" w:lineRule="auto"/>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 xml:space="preserve">2.3 </w:t>
      </w:r>
      <w:r>
        <w:rPr>
          <w:rFonts w:hint="eastAsia" w:ascii="仿宋_GB2312" w:hAnsi="仿宋_GB2312" w:eastAsia="仿宋_GB2312" w:cs="仿宋_GB2312"/>
          <w:b w:val="0"/>
          <w:bCs w:val="0"/>
          <w:color w:val="auto"/>
          <w:sz w:val="24"/>
          <w:szCs w:val="24"/>
          <w:highlight w:val="none"/>
          <w:lang w:eastAsia="zh-CN"/>
        </w:rPr>
        <w:t>价格谈判</w:t>
      </w:r>
    </w:p>
    <w:p>
      <w:pPr>
        <w:spacing w:line="360" w:lineRule="auto"/>
        <w:ind w:firstLine="480" w:firstLineChars="200"/>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评审小组完成资格审查后，认为需要对价格进行谈判的，评审小组应对每个合格报价人的价格进行谈判，价格谈判应遵守谈判纪律，由评审小组组长随机指定组内成员与谈判相对方进行谈判。 评审专家应当使用评审谈判专用座机与谈判相对方联系，谈判中不得发生透露项目预算价格、其他公司报价、暗示对方报价等影响价格公平、公正的情形。</w:t>
      </w:r>
    </w:p>
    <w:p>
      <w:pPr>
        <w:spacing w:line="360" w:lineRule="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2.4</w:t>
      </w:r>
      <w:r>
        <w:rPr>
          <w:rFonts w:hint="eastAsia" w:ascii="仿宋_GB2312" w:hAnsi="仿宋_GB2312" w:eastAsia="仿宋_GB2312" w:cs="仿宋_GB2312"/>
          <w:b w:val="0"/>
          <w:bCs w:val="0"/>
          <w:color w:val="auto"/>
          <w:sz w:val="24"/>
          <w:szCs w:val="24"/>
          <w:highlight w:val="none"/>
        </w:rPr>
        <w:t>综合评价与比较</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评审应依据评审原则、评审办法，对</w:t>
      </w:r>
      <w:r>
        <w:rPr>
          <w:rFonts w:hint="eastAsia" w:ascii="仿宋_GB2312" w:hAnsi="仿宋_GB2312" w:eastAsia="仿宋_GB2312" w:cs="仿宋_GB2312"/>
          <w:color w:val="auto"/>
          <w:sz w:val="24"/>
          <w:szCs w:val="24"/>
          <w:highlight w:val="none"/>
          <w:lang w:eastAsia="zh-CN"/>
        </w:rPr>
        <w:t>竞争性谈判申请</w:t>
      </w:r>
      <w:r>
        <w:rPr>
          <w:rFonts w:hint="eastAsia" w:ascii="仿宋_GB2312" w:hAnsi="仿宋_GB2312" w:eastAsia="仿宋_GB2312" w:cs="仿宋_GB2312"/>
          <w:color w:val="auto"/>
          <w:sz w:val="24"/>
          <w:szCs w:val="24"/>
          <w:highlight w:val="none"/>
        </w:rPr>
        <w:t>文件进行</w:t>
      </w:r>
      <w:r>
        <w:rPr>
          <w:rFonts w:hint="eastAsia" w:ascii="仿宋_GB2312" w:hAnsi="仿宋_GB2312" w:eastAsia="仿宋_GB2312" w:cs="仿宋_GB2312"/>
          <w:color w:val="auto"/>
          <w:sz w:val="24"/>
          <w:szCs w:val="24"/>
          <w:highlight w:val="none"/>
          <w:lang w:eastAsia="zh-CN"/>
        </w:rPr>
        <w:t>详细</w:t>
      </w:r>
      <w:r>
        <w:rPr>
          <w:rFonts w:hint="eastAsia" w:ascii="仿宋_GB2312" w:hAnsi="仿宋_GB2312" w:eastAsia="仿宋_GB2312" w:cs="仿宋_GB2312"/>
          <w:color w:val="auto"/>
          <w:sz w:val="24"/>
          <w:szCs w:val="24"/>
          <w:highlight w:val="none"/>
        </w:rPr>
        <w:t>评审，合理评定打分，统计排序。</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 xml:space="preserve"> 编制评审报告</w:t>
      </w:r>
    </w:p>
    <w:p>
      <w:pPr>
        <w:spacing w:line="360" w:lineRule="auto"/>
        <w:ind w:firstLine="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评审小组完成评审后，应编写评审报告。</w:t>
      </w:r>
    </w:p>
    <w:p>
      <w:pPr>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3.</w:t>
      </w:r>
      <w:r>
        <w:rPr>
          <w:rFonts w:hint="eastAsia" w:ascii="仿宋_GB2312" w:hAnsi="仿宋_GB2312" w:eastAsia="仿宋_GB2312" w:cs="仿宋_GB2312"/>
          <w:b/>
          <w:bCs/>
          <w:color w:val="auto"/>
          <w:sz w:val="24"/>
          <w:szCs w:val="24"/>
          <w:highlight w:val="none"/>
        </w:rPr>
        <w:t>评审打分办法</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每个</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的</w:t>
      </w:r>
      <w:r>
        <w:rPr>
          <w:rFonts w:hint="eastAsia" w:ascii="仿宋_GB2312" w:hAnsi="仿宋_GB2312" w:eastAsia="仿宋_GB2312" w:cs="仿宋_GB2312"/>
          <w:color w:val="auto"/>
          <w:sz w:val="24"/>
          <w:szCs w:val="24"/>
          <w:highlight w:val="none"/>
          <w:lang w:eastAsia="zh-CN"/>
        </w:rPr>
        <w:t>技术得</w:t>
      </w:r>
      <w:r>
        <w:rPr>
          <w:rFonts w:hint="eastAsia" w:ascii="仿宋_GB2312" w:hAnsi="仿宋_GB2312" w:eastAsia="仿宋_GB2312" w:cs="仿宋_GB2312"/>
          <w:color w:val="auto"/>
          <w:sz w:val="24"/>
          <w:szCs w:val="24"/>
          <w:highlight w:val="none"/>
        </w:rPr>
        <w:t>分</w:t>
      </w:r>
      <w:r>
        <w:rPr>
          <w:rFonts w:hint="eastAsia" w:ascii="仿宋_GB2312" w:hAnsi="仿宋_GB2312" w:eastAsia="仿宋_GB2312" w:cs="仿宋_GB2312"/>
          <w:color w:val="auto"/>
          <w:sz w:val="24"/>
          <w:szCs w:val="24"/>
          <w:highlight w:val="none"/>
          <w:lang w:eastAsia="zh-CN"/>
        </w:rPr>
        <w:t>为每位</w:t>
      </w:r>
      <w:r>
        <w:rPr>
          <w:rFonts w:hint="eastAsia" w:ascii="仿宋_GB2312" w:hAnsi="仿宋_GB2312" w:eastAsia="仿宋_GB2312" w:cs="仿宋_GB2312"/>
          <w:color w:val="auto"/>
          <w:sz w:val="24"/>
          <w:szCs w:val="24"/>
          <w:highlight w:val="none"/>
        </w:rPr>
        <w:t>评</w:t>
      </w:r>
      <w:r>
        <w:rPr>
          <w:rFonts w:hint="eastAsia" w:ascii="仿宋_GB2312" w:hAnsi="仿宋_GB2312" w:eastAsia="仿宋_GB2312" w:cs="仿宋_GB2312"/>
          <w:color w:val="auto"/>
          <w:sz w:val="24"/>
          <w:szCs w:val="24"/>
          <w:highlight w:val="none"/>
          <w:lang w:eastAsia="zh-CN"/>
        </w:rPr>
        <w:t>审专家</w:t>
      </w:r>
      <w:r>
        <w:rPr>
          <w:rFonts w:hint="eastAsia" w:ascii="仿宋_GB2312" w:hAnsi="仿宋_GB2312" w:eastAsia="仿宋_GB2312" w:cs="仿宋_GB2312"/>
          <w:color w:val="auto"/>
          <w:sz w:val="24"/>
          <w:szCs w:val="24"/>
          <w:highlight w:val="none"/>
        </w:rPr>
        <w:t>打分的算术平均值</w:t>
      </w:r>
      <w:r>
        <w:rPr>
          <w:rFonts w:hint="eastAsia" w:ascii="仿宋_GB2312" w:hAnsi="仿宋_GB2312" w:eastAsia="仿宋_GB2312" w:cs="仿宋_GB2312"/>
          <w:color w:val="auto"/>
          <w:sz w:val="24"/>
          <w:szCs w:val="24"/>
          <w:highlight w:val="none"/>
          <w:lang w:eastAsia="zh-CN"/>
        </w:rPr>
        <w:t>，报价得分计算规则详见</w:t>
      </w:r>
      <w:r>
        <w:rPr>
          <w:rFonts w:hint="eastAsia" w:ascii="仿宋_GB2312" w:hAnsi="仿宋_GB2312" w:eastAsia="仿宋_GB2312" w:cs="仿宋_GB2312"/>
          <w:color w:val="auto"/>
          <w:sz w:val="24"/>
          <w:szCs w:val="24"/>
          <w:highlight w:val="none"/>
          <w:lang w:val="en-US" w:eastAsia="zh-CN"/>
        </w:rPr>
        <w:t>3.2.2</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评分过程中所有</w:t>
      </w:r>
      <w:r>
        <w:rPr>
          <w:rFonts w:hint="eastAsia" w:ascii="仿宋_GB2312" w:hAnsi="仿宋_GB2312" w:eastAsia="仿宋_GB2312" w:cs="仿宋_GB2312"/>
          <w:color w:val="auto"/>
          <w:sz w:val="24"/>
          <w:szCs w:val="24"/>
          <w:highlight w:val="none"/>
        </w:rPr>
        <w:t>计分</w:t>
      </w:r>
      <w:r>
        <w:rPr>
          <w:rFonts w:hint="eastAsia" w:ascii="仿宋_GB2312" w:hAnsi="仿宋_GB2312" w:eastAsia="仿宋_GB2312" w:cs="仿宋_GB2312"/>
          <w:color w:val="auto"/>
          <w:sz w:val="24"/>
          <w:szCs w:val="24"/>
          <w:highlight w:val="none"/>
          <w:lang w:eastAsia="zh-CN"/>
        </w:rPr>
        <w:t>结果均须四舍五入</w:t>
      </w:r>
      <w:r>
        <w:rPr>
          <w:rFonts w:hint="eastAsia" w:ascii="仿宋_GB2312" w:hAnsi="仿宋_GB2312" w:eastAsia="仿宋_GB2312" w:cs="仿宋_GB2312"/>
          <w:color w:val="auto"/>
          <w:sz w:val="24"/>
          <w:szCs w:val="24"/>
          <w:highlight w:val="none"/>
        </w:rPr>
        <w:t>保留至小数点后两位。</w:t>
      </w:r>
    </w:p>
    <w:p>
      <w:pPr>
        <w:spacing w:line="360" w:lineRule="auto"/>
        <w:jc w:val="lef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color w:val="auto"/>
          <w:sz w:val="24"/>
          <w:szCs w:val="24"/>
          <w:highlight w:val="none"/>
        </w:rPr>
        <w:t>3.1 技术评分细则（满分100分，</w:t>
      </w:r>
      <w:r>
        <w:rPr>
          <w:rFonts w:hint="eastAsia" w:ascii="仿宋_GB2312" w:hAnsi="仿宋_GB2312" w:eastAsia="仿宋_GB2312" w:cs="仿宋_GB2312"/>
          <w:color w:val="auto"/>
          <w:sz w:val="24"/>
          <w:szCs w:val="24"/>
          <w:highlight w:val="none"/>
          <w:lang w:eastAsia="zh-CN"/>
        </w:rPr>
        <w:t>权重</w:t>
      </w:r>
      <w:r>
        <w:rPr>
          <w:rFonts w:hint="eastAsia" w:ascii="仿宋_GB2312" w:hAnsi="仿宋_GB2312" w:eastAsia="仿宋_GB2312" w:cs="仿宋_GB2312"/>
          <w:color w:val="auto"/>
          <w:sz w:val="24"/>
          <w:szCs w:val="24"/>
          <w:highlight w:val="none"/>
          <w:lang w:val="en-US" w:eastAsia="zh-CN"/>
        </w:rPr>
        <w:t>0.4</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见下附表1）</w:t>
      </w:r>
    </w:p>
    <w:p>
      <w:pPr>
        <w:spacing w:line="240" w:lineRule="auto"/>
        <w:jc w:val="both"/>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技术评分表</w:t>
      </w:r>
    </w:p>
    <w:p>
      <w:pPr>
        <w:spacing w:line="240" w:lineRule="auto"/>
        <w:jc w:val="center"/>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评分标准</w:t>
      </w:r>
    </w:p>
    <w:p>
      <w:pPr>
        <w:jc w:val="center"/>
        <w:rPr>
          <w:rFonts w:hint="eastAsia" w:ascii="仿宋_GB2312" w:hAnsi="仿宋_GB2312" w:eastAsia="仿宋_GB2312" w:cs="仿宋_GB2312"/>
          <w:color w:val="auto"/>
          <w:sz w:val="24"/>
          <w:szCs w:val="24"/>
          <w:highlight w:val="none"/>
        </w:rPr>
      </w:pPr>
    </w:p>
    <w:tbl>
      <w:tblPr>
        <w:tblStyle w:val="6"/>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50"/>
        <w:gridCol w:w="860"/>
        <w:gridCol w:w="5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序号</w:t>
            </w:r>
          </w:p>
        </w:tc>
        <w:tc>
          <w:tcPr>
            <w:tcW w:w="790"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评分项目</w:t>
            </w:r>
          </w:p>
        </w:tc>
        <w:tc>
          <w:tcPr>
            <w:tcW w:w="503"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标准分</w:t>
            </w:r>
          </w:p>
        </w:tc>
        <w:tc>
          <w:tcPr>
            <w:tcW w:w="3281" w:type="pct"/>
            <w:noWrap w:val="0"/>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bottom"/>
          </w:tcPr>
          <w:p>
            <w:pPr>
              <w:keepNext w:val="0"/>
              <w:keepLines w:val="0"/>
              <w:widowControl w:val="0"/>
              <w:suppressLineNumbers w:val="0"/>
              <w:tabs>
                <w:tab w:val="left" w:pos="0"/>
              </w:tabs>
              <w:spacing w:before="60" w:beforeLines="25" w:beforeAutospacing="0" w:after="0" w:afterAutospacing="0" w:line="300" w:lineRule="auto"/>
              <w:ind w:left="0" w:leftChars="0" w:right="0" w:rightChars="0"/>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w:t>
            </w:r>
          </w:p>
        </w:tc>
        <w:tc>
          <w:tcPr>
            <w:tcW w:w="790" w:type="pct"/>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1"/>
                <w:szCs w:val="24"/>
                <w:lang w:val="en-US" w:eastAsia="zh-CN" w:bidi="ar"/>
              </w:rPr>
              <w:t>相关工程业绩</w:t>
            </w:r>
          </w:p>
        </w:tc>
        <w:tc>
          <w:tcPr>
            <w:tcW w:w="503" w:type="pct"/>
            <w:noWrap w:val="0"/>
            <w:vAlign w:val="center"/>
          </w:tcPr>
          <w:p>
            <w:pPr>
              <w:keepNext w:val="0"/>
              <w:keepLines w:val="0"/>
              <w:widowControl w:val="0"/>
              <w:suppressLineNumbers w:val="0"/>
              <w:spacing w:before="0" w:beforeAutospacing="0" w:after="0" w:afterAutospacing="0"/>
              <w:ind w:left="0" w:leftChars="0" w:right="0" w:rightChars="0" w:firstLine="120" w:firstLineChars="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w:t>
            </w:r>
          </w:p>
        </w:tc>
        <w:tc>
          <w:tcPr>
            <w:tcW w:w="32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①投标方必须具有防水防腐保温工程专业承包贰级及以上资质或化工防腐蚀施工综合壹级资质，投标时提供营业执照、安全生产许可证、建筑业企业资质证书、职业健康安全管理体系认证证书、质量管理体系认证证书、组织措施、技术措施、安全措施、应急预案、业绩证明。得基本分为15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②每提供一台600MW及以上机组防腐业绩加2分，满分10分；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③资质不满足要求不得分。【①②均须附相关证明文件】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center"/>
              <w:rPr>
                <w:rFonts w:hint="default"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kern w:val="2"/>
                <w:sz w:val="24"/>
                <w:szCs w:val="24"/>
                <w:highlight w:val="none"/>
                <w:lang w:val="en-US" w:eastAsia="zh-CN" w:bidi="ar-SA"/>
              </w:rPr>
              <w:t>2</w:t>
            </w:r>
          </w:p>
        </w:tc>
        <w:tc>
          <w:tcPr>
            <w:tcW w:w="790" w:type="pct"/>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sz w:val="24"/>
                <w:szCs w:val="24"/>
              </w:rPr>
              <w:t>安全保证体系</w:t>
            </w:r>
            <w:r>
              <w:rPr>
                <w:rFonts w:hint="eastAsia" w:ascii="仿宋_GB2312" w:hAnsi="仿宋_GB2312" w:eastAsia="仿宋_GB2312" w:cs="仿宋_GB2312"/>
                <w:sz w:val="24"/>
                <w:szCs w:val="24"/>
                <w:lang w:eastAsia="zh-CN"/>
              </w:rPr>
              <w:t>及措施</w:t>
            </w:r>
          </w:p>
        </w:tc>
        <w:tc>
          <w:tcPr>
            <w:tcW w:w="503" w:type="pct"/>
            <w:noWrap w:val="0"/>
            <w:vAlign w:val="center"/>
          </w:tcPr>
          <w:p>
            <w:pPr>
              <w:keepNext w:val="0"/>
              <w:keepLines w:val="0"/>
              <w:widowControl w:val="0"/>
              <w:suppressLineNumbers w:val="0"/>
              <w:spacing w:before="0" w:beforeAutospacing="0" w:after="0" w:afterAutospacing="0"/>
              <w:ind w:left="0" w:leftChars="0" w:right="0" w:rightChars="0" w:firstLine="120" w:firstLineChars="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32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满足技术规范书要求并提出详细资料，满足要求得15分。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不满足要求或未提供资料不得分。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优于规范书要求，酌情加分，满分20分。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2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center"/>
              <w:rPr>
                <w:rFonts w:hint="default"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kern w:val="2"/>
                <w:sz w:val="24"/>
                <w:szCs w:val="24"/>
                <w:highlight w:val="none"/>
                <w:lang w:val="en-US" w:eastAsia="zh-CN" w:bidi="ar-SA"/>
              </w:rPr>
              <w:t>3</w:t>
            </w:r>
          </w:p>
        </w:tc>
        <w:tc>
          <w:tcPr>
            <w:tcW w:w="790" w:type="pct"/>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sz w:val="24"/>
                <w:szCs w:val="24"/>
              </w:rPr>
              <w:t>质量保证体系</w:t>
            </w:r>
            <w:r>
              <w:rPr>
                <w:rFonts w:hint="eastAsia" w:ascii="仿宋_GB2312" w:hAnsi="仿宋_GB2312" w:eastAsia="仿宋_GB2312" w:cs="仿宋_GB2312"/>
                <w:sz w:val="24"/>
                <w:szCs w:val="24"/>
                <w:lang w:eastAsia="zh-CN"/>
              </w:rPr>
              <w:t>及措施</w:t>
            </w:r>
          </w:p>
        </w:tc>
        <w:tc>
          <w:tcPr>
            <w:tcW w:w="50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firstLine="120" w:firstLineChars="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32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20" w:leftChars="0" w:right="0" w:rightChars="0" w:hanging="120" w:hangingChars="50"/>
              <w:jc w:val="left"/>
              <w:textAlignment w:val="auto"/>
              <w:rPr>
                <w:rFonts w:hint="eastAsia" w:ascii="仿宋_GB2312" w:hAnsi="仿宋_GB2312" w:eastAsia="仿宋_GB2312" w:cs="仿宋_GB2312"/>
                <w:bCs/>
                <w:kern w:val="2"/>
                <w:sz w:val="24"/>
                <w:szCs w:val="24"/>
                <w:lang w:val="en-US" w:eastAsia="zh-CN" w:bidi="ar"/>
              </w:rPr>
            </w:pPr>
            <w:r>
              <w:rPr>
                <w:rFonts w:hint="eastAsia" w:ascii="仿宋_GB2312" w:hAnsi="仿宋_GB2312" w:eastAsia="仿宋_GB2312" w:cs="仿宋_GB2312"/>
                <w:sz w:val="24"/>
                <w:szCs w:val="24"/>
              </w:rPr>
              <w:t>施工质量保证体系齐全，满足技术规范书要求并提出详细资料，满足要求得15分。不满足要求或未提供资料不得分。优于规范书要求，酌情加分，满分25分。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2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center"/>
              <w:rPr>
                <w:rFonts w:hint="default"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kern w:val="2"/>
                <w:sz w:val="24"/>
                <w:szCs w:val="24"/>
                <w:highlight w:val="none"/>
                <w:lang w:val="en-US" w:eastAsia="zh-CN" w:bidi="ar-SA"/>
              </w:rPr>
              <w:t>4</w:t>
            </w:r>
          </w:p>
        </w:tc>
        <w:tc>
          <w:tcPr>
            <w:tcW w:w="790" w:type="pct"/>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质保要求</w:t>
            </w:r>
          </w:p>
        </w:tc>
        <w:tc>
          <w:tcPr>
            <w:tcW w:w="50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firstLine="120" w:firstLineChars="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32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20" w:leftChars="0" w:right="0" w:rightChars="0" w:hanging="120" w:hangingChars="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质保需满足技术规范书中要求，得基本分10分，优于规范书要求，酌情加分，满分20分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center"/>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b w:val="0"/>
                <w:bCs/>
                <w:color w:val="auto"/>
                <w:kern w:val="2"/>
                <w:sz w:val="24"/>
                <w:szCs w:val="24"/>
                <w:highlight w:val="none"/>
                <w:lang w:val="en-US" w:eastAsia="zh-CN" w:bidi="ar-SA"/>
              </w:rPr>
              <w:t>5</w:t>
            </w:r>
          </w:p>
        </w:tc>
        <w:tc>
          <w:tcPr>
            <w:tcW w:w="790" w:type="pct"/>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仿宋_GB2312" w:hAnsi="仿宋_GB2312" w:eastAsia="仿宋_GB2312" w:cs="仿宋_GB2312"/>
                <w:bCs w:val="0"/>
                <w:sz w:val="24"/>
                <w:szCs w:val="24"/>
              </w:rPr>
            </w:pPr>
            <w:r>
              <w:rPr>
                <w:rFonts w:hint="eastAsia" w:ascii="仿宋_GB2312" w:hAnsi="仿宋_GB2312" w:eastAsia="仿宋_GB2312" w:cs="仿宋_GB2312"/>
                <w:bCs w:val="0"/>
                <w:sz w:val="24"/>
                <w:szCs w:val="24"/>
                <w:lang w:eastAsia="zh-CN"/>
              </w:rPr>
              <w:t>竞争性谈判申请文件</w:t>
            </w:r>
            <w:r>
              <w:rPr>
                <w:rFonts w:hint="eastAsia" w:ascii="仿宋_GB2312" w:hAnsi="仿宋_GB2312" w:eastAsia="仿宋_GB2312" w:cs="仿宋_GB2312"/>
                <w:bCs w:val="0"/>
                <w:sz w:val="24"/>
                <w:szCs w:val="24"/>
              </w:rPr>
              <w:t>响应性</w:t>
            </w:r>
            <w:r>
              <w:rPr>
                <w:rFonts w:hint="eastAsia" w:ascii="仿宋_GB2312" w:hAnsi="仿宋_GB2312" w:eastAsia="仿宋_GB2312" w:cs="仿宋_GB2312"/>
                <w:sz w:val="24"/>
                <w:szCs w:val="24"/>
              </w:rPr>
              <w:t>及规范完整性</w:t>
            </w:r>
            <w:r>
              <w:rPr>
                <w:rFonts w:hint="eastAsia" w:ascii="仿宋_GB2312" w:hAnsi="仿宋_GB2312" w:eastAsia="仿宋_GB2312" w:cs="仿宋_GB2312"/>
                <w:sz w:val="24"/>
                <w:szCs w:val="24"/>
                <w:lang w:eastAsia="zh-CN"/>
              </w:rPr>
              <w:t>：</w:t>
            </w:r>
          </w:p>
        </w:tc>
        <w:tc>
          <w:tcPr>
            <w:tcW w:w="50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firstLine="120" w:firstLineChars="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328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20" w:leftChars="0" w:right="0" w:rightChars="0" w:hanging="120" w:hangingChars="5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一般   1-5分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20" w:leftChars="0" w:right="0" w:rightChars="0" w:hanging="120" w:hangingChars="5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好    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2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center"/>
              <w:rPr>
                <w:rFonts w:hint="eastAsia" w:ascii="仿宋_GB2312" w:hAnsi="仿宋_GB2312" w:eastAsia="仿宋_GB2312" w:cs="仿宋_GB2312"/>
                <w:b/>
                <w:color w:val="auto"/>
                <w:kern w:val="2"/>
                <w:sz w:val="24"/>
                <w:szCs w:val="24"/>
                <w:highlight w:val="none"/>
                <w:lang w:val="en-US" w:eastAsia="zh-CN" w:bidi="ar-SA"/>
              </w:rPr>
            </w:pPr>
          </w:p>
        </w:tc>
        <w:tc>
          <w:tcPr>
            <w:tcW w:w="790"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jc w:val="distribute"/>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b/>
                <w:color w:val="auto"/>
                <w:kern w:val="2"/>
                <w:sz w:val="24"/>
                <w:szCs w:val="24"/>
                <w:highlight w:val="none"/>
                <w:lang w:val="en-US" w:eastAsia="zh-CN" w:bidi="ar-SA"/>
              </w:rPr>
              <w:t>合计</w:t>
            </w:r>
          </w:p>
        </w:tc>
        <w:tc>
          <w:tcPr>
            <w:tcW w:w="503" w:type="pct"/>
            <w:noWrap w:val="0"/>
            <w:vAlign w:val="center"/>
          </w:tcPr>
          <w:p>
            <w:pPr>
              <w:keepNext w:val="0"/>
              <w:keepLines w:val="0"/>
              <w:widowControl w:val="0"/>
              <w:suppressLineNumbers w:val="0"/>
              <w:spacing w:before="60" w:beforeLines="25" w:beforeAutospacing="0" w:after="0" w:afterAutospacing="0" w:line="300" w:lineRule="auto"/>
              <w:ind w:left="0" w:leftChars="0" w:right="0" w:rightChars="0" w:firstLine="118" w:firstLineChars="49"/>
              <w:jc w:val="both"/>
              <w:rPr>
                <w:rFonts w:hint="eastAsia" w:ascii="仿宋_GB2312" w:hAnsi="仿宋_GB2312" w:eastAsia="仿宋_GB2312" w:cs="仿宋_GB2312"/>
                <w:b/>
                <w:color w:val="auto"/>
                <w:kern w:val="2"/>
                <w:sz w:val="24"/>
                <w:szCs w:val="24"/>
                <w:highlight w:val="none"/>
                <w:lang w:val="en-US" w:eastAsia="zh-CN" w:bidi="ar-SA"/>
              </w:rPr>
            </w:pPr>
            <w:r>
              <w:rPr>
                <w:rFonts w:hint="eastAsia" w:ascii="仿宋_GB2312" w:hAnsi="仿宋_GB2312" w:eastAsia="仿宋_GB2312" w:cs="仿宋_GB2312"/>
                <w:b/>
                <w:color w:val="auto"/>
                <w:kern w:val="2"/>
                <w:sz w:val="24"/>
                <w:szCs w:val="24"/>
                <w:highlight w:val="none"/>
                <w:lang w:val="en-US" w:eastAsia="zh-CN" w:bidi="ar"/>
              </w:rPr>
              <w:t>100</w:t>
            </w:r>
          </w:p>
        </w:tc>
        <w:tc>
          <w:tcPr>
            <w:tcW w:w="3281" w:type="pct"/>
            <w:noWrap w:val="0"/>
            <w:vAlign w:val="center"/>
          </w:tcPr>
          <w:p>
            <w:pPr>
              <w:keepNext w:val="0"/>
              <w:keepLines w:val="0"/>
              <w:widowControl w:val="0"/>
              <w:suppressLineNumbers w:val="0"/>
              <w:spacing w:before="60" w:beforeLines="25" w:beforeAutospacing="0" w:after="0" w:afterAutospacing="0" w:line="240" w:lineRule="auto"/>
              <w:ind w:left="0" w:leftChars="0" w:right="0" w:rightChars="0"/>
              <w:jc w:val="both"/>
              <w:rPr>
                <w:rFonts w:hint="eastAsia" w:ascii="仿宋_GB2312" w:hAnsi="仿宋_GB2312" w:eastAsia="仿宋_GB2312" w:cs="仿宋_GB2312"/>
                <w:b/>
                <w:color w:val="auto"/>
                <w:kern w:val="2"/>
                <w:sz w:val="24"/>
                <w:szCs w:val="24"/>
                <w:highlight w:val="none"/>
                <w:lang w:val="en-US" w:eastAsia="zh-CN" w:bidi="ar-SA"/>
              </w:rPr>
            </w:pPr>
          </w:p>
        </w:tc>
      </w:tr>
    </w:tbl>
    <w:p>
      <w:pPr>
        <w:pStyle w:val="4"/>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3.2报价评分（满分100分</w:t>
      </w:r>
      <w:r>
        <w:rPr>
          <w:rFonts w:hint="eastAsia" w:ascii="仿宋_GB2312" w:hAnsi="仿宋_GB2312" w:eastAsia="仿宋_GB2312" w:cs="仿宋_GB2312"/>
          <w:color w:val="auto"/>
          <w:sz w:val="24"/>
          <w:szCs w:val="24"/>
          <w:highlight w:val="none"/>
          <w:lang w:eastAsia="zh-CN"/>
        </w:rPr>
        <w:t>，权重</w:t>
      </w:r>
      <w:r>
        <w:rPr>
          <w:rFonts w:hint="eastAsia" w:ascii="仿宋_GB2312" w:hAnsi="仿宋_GB2312" w:eastAsia="仿宋_GB2312" w:cs="仿宋_GB2312"/>
          <w:color w:val="auto"/>
          <w:sz w:val="24"/>
          <w:szCs w:val="24"/>
          <w:highlight w:val="none"/>
          <w:lang w:val="en-US" w:eastAsia="zh-CN"/>
        </w:rPr>
        <w:t>0.6</w:t>
      </w:r>
      <w:r>
        <w:rPr>
          <w:rFonts w:hint="eastAsia" w:ascii="仿宋_GB2312" w:hAnsi="仿宋_GB2312" w:eastAsia="仿宋_GB2312" w:cs="仿宋_GB2312"/>
          <w:color w:val="auto"/>
          <w:sz w:val="24"/>
          <w:szCs w:val="24"/>
          <w:highlight w:val="none"/>
        </w:rPr>
        <w:t>）</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3.2.1确定评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价（以总价为评标标准）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价为经调整后的</w:t>
      </w:r>
      <w:r>
        <w:rPr>
          <w:rFonts w:hint="eastAsia" w:ascii="仿宋_GB2312" w:hAnsi="仿宋_GB2312" w:eastAsia="仿宋_GB2312" w:cs="仿宋_GB2312"/>
          <w:color w:val="auto"/>
          <w:sz w:val="24"/>
          <w:szCs w:val="24"/>
          <w:highlight w:val="none"/>
          <w:lang w:eastAsia="zh-CN"/>
        </w:rPr>
        <w:t>各报价人的最终</w:t>
      </w:r>
      <w:r>
        <w:rPr>
          <w:rFonts w:hint="eastAsia" w:ascii="仿宋_GB2312" w:hAnsi="仿宋_GB2312" w:eastAsia="仿宋_GB2312" w:cs="仿宋_GB2312"/>
          <w:color w:val="auto"/>
          <w:sz w:val="24"/>
          <w:szCs w:val="24"/>
          <w:highlight w:val="none"/>
        </w:rPr>
        <w:t>综合含税总价</w:t>
      </w:r>
      <w:r>
        <w:rPr>
          <w:rFonts w:hint="eastAsia" w:ascii="仿宋_GB2312" w:hAnsi="仿宋_GB2312" w:eastAsia="仿宋_GB2312" w:cs="仿宋_GB2312"/>
          <w:color w:val="auto"/>
          <w:sz w:val="24"/>
          <w:szCs w:val="24"/>
          <w:highlight w:val="none"/>
          <w:lang w:eastAsia="zh-CN"/>
        </w:rPr>
        <w:t>报价</w:t>
      </w:r>
      <w:r>
        <w:rPr>
          <w:rFonts w:hint="eastAsia" w:ascii="仿宋_GB2312" w:hAnsi="仿宋_GB2312" w:eastAsia="仿宋_GB2312" w:cs="仿宋_GB2312"/>
          <w:color w:val="auto"/>
          <w:sz w:val="24"/>
          <w:szCs w:val="24"/>
          <w:highlight w:val="none"/>
        </w:rPr>
        <w:t>。</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说明：</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（1）若因税金不一致，则在评标时修正到同一个标准。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价仅作为评审时将各</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报价调整到同一水平，以便进行比较，中选后合同</w:t>
      </w:r>
      <w:r>
        <w:rPr>
          <w:rFonts w:hint="eastAsia" w:ascii="仿宋_GB2312" w:hAnsi="仿宋_GB2312" w:eastAsia="仿宋_GB2312" w:cs="仿宋_GB2312"/>
          <w:color w:val="auto"/>
          <w:sz w:val="24"/>
          <w:szCs w:val="24"/>
          <w:highlight w:val="none"/>
          <w:lang w:eastAsia="zh-CN"/>
        </w:rPr>
        <w:t>暂定含税金额</w:t>
      </w:r>
      <w:r>
        <w:rPr>
          <w:rFonts w:hint="eastAsia" w:ascii="仿宋_GB2312" w:hAnsi="仿宋_GB2312" w:eastAsia="仿宋_GB2312" w:cs="仿宋_GB2312"/>
          <w:color w:val="auto"/>
          <w:sz w:val="24"/>
          <w:szCs w:val="24"/>
          <w:highlight w:val="none"/>
        </w:rPr>
        <w:t>仍然为</w:t>
      </w:r>
      <w:r>
        <w:rPr>
          <w:rFonts w:hint="eastAsia" w:ascii="仿宋_GB2312" w:hAnsi="仿宋_GB2312" w:eastAsia="仿宋_GB2312" w:cs="仿宋_GB2312"/>
          <w:color w:val="auto"/>
          <w:sz w:val="24"/>
          <w:szCs w:val="24"/>
          <w:highlight w:val="none"/>
          <w:lang w:eastAsia="zh-CN"/>
        </w:rPr>
        <w:t>中选人最终</w:t>
      </w:r>
      <w:r>
        <w:rPr>
          <w:rFonts w:hint="eastAsia" w:ascii="仿宋_GB2312" w:hAnsi="仿宋_GB2312" w:eastAsia="仿宋_GB2312" w:cs="仿宋_GB2312"/>
          <w:color w:val="auto"/>
          <w:sz w:val="24"/>
          <w:szCs w:val="24"/>
          <w:highlight w:val="none"/>
        </w:rPr>
        <w:t>综合含税总价报价。</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3.2.2 报价得分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的最低评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价得分为100分。各</w:t>
      </w: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的评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价高于有效最低评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价，每高1%扣0.5分，扣完为止。计算分值时保留小数点后二位。</w:t>
      </w:r>
    </w:p>
    <w:p>
      <w:pPr>
        <w:spacing w:line="360" w:lineRule="auto"/>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报价得分＝100-[(评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价－有效最低评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 有效最低评</w:t>
      </w:r>
      <w:r>
        <w:rPr>
          <w:rFonts w:hint="eastAsia" w:ascii="仿宋_GB2312" w:hAnsi="仿宋_GB2312" w:eastAsia="仿宋_GB2312" w:cs="仿宋_GB2312"/>
          <w:color w:val="auto"/>
          <w:sz w:val="24"/>
          <w:szCs w:val="24"/>
          <w:highlight w:val="none"/>
          <w:lang w:eastAsia="zh-CN"/>
        </w:rPr>
        <w:t>审</w:t>
      </w:r>
      <w:r>
        <w:rPr>
          <w:rFonts w:hint="eastAsia" w:ascii="仿宋_GB2312" w:hAnsi="仿宋_GB2312" w:eastAsia="仿宋_GB2312" w:cs="仿宋_GB2312"/>
          <w:color w:val="auto"/>
          <w:sz w:val="24"/>
          <w:szCs w:val="24"/>
          <w:highlight w:val="none"/>
        </w:rPr>
        <w:t>价×100]×0.5。</w:t>
      </w:r>
    </w:p>
    <w:p>
      <w:pPr>
        <w:spacing w:line="360" w:lineRule="auto"/>
        <w:jc w:val="lef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 xml:space="preserve">4  </w:t>
      </w:r>
      <w:r>
        <w:rPr>
          <w:rFonts w:hint="eastAsia" w:ascii="仿宋_GB2312" w:hAnsi="仿宋_GB2312" w:eastAsia="仿宋_GB2312" w:cs="仿宋_GB2312"/>
          <w:b/>
          <w:bCs/>
          <w:color w:val="auto"/>
          <w:sz w:val="24"/>
          <w:szCs w:val="24"/>
          <w:highlight w:val="none"/>
        </w:rPr>
        <w:t>综合评分</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满分为100分，其中技术评分权重为0.40；报价权重为0.60。</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报价人</w:t>
      </w:r>
      <w:r>
        <w:rPr>
          <w:rFonts w:hint="eastAsia" w:ascii="仿宋_GB2312" w:hAnsi="仿宋_GB2312" w:eastAsia="仿宋_GB2312" w:cs="仿宋_GB2312"/>
          <w:color w:val="auto"/>
          <w:sz w:val="24"/>
          <w:szCs w:val="24"/>
          <w:highlight w:val="none"/>
        </w:rPr>
        <w:t>单位综合得分=技术得分×0.4+报价得分×0.6</w:t>
      </w:r>
    </w:p>
    <w:p>
      <w:pPr>
        <w:spacing w:line="360" w:lineRule="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5</w:t>
      </w:r>
      <w:r>
        <w:rPr>
          <w:rFonts w:hint="eastAsia" w:ascii="仿宋_GB2312" w:hAnsi="仿宋_GB2312" w:eastAsia="仿宋_GB2312" w:cs="仿宋_GB2312"/>
          <w:b/>
          <w:bCs/>
          <w:color w:val="auto"/>
          <w:sz w:val="24"/>
          <w:szCs w:val="24"/>
          <w:highlight w:val="none"/>
          <w:lang w:val="en-US" w:eastAsia="zh-CN"/>
        </w:rPr>
        <w:t xml:space="preserve">  </w:t>
      </w:r>
      <w:r>
        <w:rPr>
          <w:rFonts w:hint="eastAsia" w:ascii="仿宋_GB2312" w:hAnsi="仿宋_GB2312" w:eastAsia="仿宋_GB2312" w:cs="仿宋_GB2312"/>
          <w:b/>
          <w:bCs/>
          <w:color w:val="auto"/>
          <w:sz w:val="24"/>
          <w:szCs w:val="24"/>
          <w:highlight w:val="none"/>
        </w:rPr>
        <w:t>综合排序的原则</w:t>
      </w:r>
    </w:p>
    <w:p>
      <w:pPr>
        <w:spacing w:line="360" w:lineRule="auto"/>
        <w:rPr>
          <w:rFonts w:hint="eastAsia" w:ascii="仿宋_GB2312" w:hAnsi="仿宋_GB2312" w:eastAsia="仿宋_GB2312" w:cs="仿宋_GB2312"/>
          <w:bCs/>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5.1</w:t>
      </w:r>
      <w:r>
        <w:rPr>
          <w:rFonts w:hint="eastAsia" w:ascii="仿宋_GB2312" w:hAnsi="仿宋_GB2312" w:eastAsia="仿宋_GB2312" w:cs="仿宋_GB2312"/>
          <w:color w:val="auto"/>
          <w:sz w:val="24"/>
          <w:szCs w:val="24"/>
          <w:highlight w:val="none"/>
        </w:rPr>
        <w:t>评审小组根据综合得分情况</w:t>
      </w:r>
      <w:r>
        <w:rPr>
          <w:rFonts w:hint="eastAsia" w:ascii="仿宋_GB2312" w:hAnsi="仿宋_GB2312" w:eastAsia="仿宋_GB2312" w:cs="仿宋_GB2312"/>
          <w:bCs/>
          <w:color w:val="auto"/>
          <w:sz w:val="24"/>
          <w:szCs w:val="24"/>
          <w:highlight w:val="none"/>
        </w:rPr>
        <w:t>按得分高低进行推荐排序</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Cs/>
          <w:color w:val="auto"/>
          <w:sz w:val="24"/>
          <w:szCs w:val="24"/>
          <w:highlight w:val="none"/>
        </w:rPr>
        <w:t>并推荐得分前二名的为第一、第二候选人</w:t>
      </w:r>
      <w:r>
        <w:rPr>
          <w:rFonts w:hint="eastAsia" w:ascii="仿宋_GB2312" w:hAnsi="仿宋_GB2312" w:eastAsia="仿宋_GB2312" w:cs="仿宋_GB2312"/>
          <w:bCs/>
          <w:color w:val="auto"/>
          <w:sz w:val="24"/>
          <w:szCs w:val="24"/>
          <w:highlight w:val="none"/>
          <w:lang w:eastAsia="zh-CN"/>
        </w:rPr>
        <w:t>，甲方</w:t>
      </w:r>
      <w:r>
        <w:rPr>
          <w:rFonts w:hint="eastAsia" w:ascii="仿宋_GB2312" w:hAnsi="仿宋_GB2312" w:eastAsia="仿宋_GB2312" w:cs="仿宋_GB2312"/>
          <w:bCs/>
          <w:color w:val="auto"/>
          <w:sz w:val="24"/>
          <w:szCs w:val="24"/>
          <w:highlight w:val="none"/>
        </w:rPr>
        <w:t>与其中一名签订合同</w:t>
      </w:r>
      <w:r>
        <w:rPr>
          <w:rFonts w:hint="eastAsia" w:ascii="仿宋_GB2312" w:hAnsi="仿宋_GB2312" w:eastAsia="仿宋_GB2312" w:cs="仿宋_GB2312"/>
          <w:bCs/>
          <w:color w:val="auto"/>
          <w:sz w:val="24"/>
          <w:szCs w:val="24"/>
          <w:highlight w:val="none"/>
          <w:lang w:eastAsia="zh-CN"/>
        </w:rPr>
        <w:t>，中选单位不与甲方签订书面合同或签订书面合同过程中对项目实质性条款提出变更的，甲方有权按照项目评审排名选择与下一顺位报价人签订书面合同。</w:t>
      </w:r>
    </w:p>
    <w:p>
      <w:pPr>
        <w:spacing w:line="360" w:lineRule="auto"/>
        <w:rPr>
          <w:rFonts w:hint="eastAsia" w:ascii="仿宋_GB2312" w:hAnsi="仿宋_GB2312" w:eastAsia="仿宋_GB2312" w:cs="仿宋_GB2312"/>
          <w:bCs/>
          <w:color w:val="auto"/>
          <w:sz w:val="24"/>
          <w:szCs w:val="24"/>
          <w:highlight w:val="none"/>
          <w:lang w:eastAsia="zh-CN"/>
        </w:rPr>
      </w:pPr>
      <w:r>
        <w:rPr>
          <w:rFonts w:hint="eastAsia" w:ascii="仿宋_GB2312" w:hAnsi="仿宋_GB2312" w:eastAsia="仿宋_GB2312" w:cs="仿宋_GB2312"/>
          <w:bCs/>
          <w:color w:val="auto"/>
          <w:sz w:val="24"/>
          <w:szCs w:val="24"/>
          <w:highlight w:val="none"/>
          <w:lang w:val="en-US" w:eastAsia="zh-CN"/>
        </w:rPr>
        <w:t>5.2</w:t>
      </w:r>
      <w:r>
        <w:rPr>
          <w:rFonts w:hint="eastAsia" w:ascii="仿宋_GB2312" w:hAnsi="仿宋_GB2312" w:eastAsia="仿宋_GB2312" w:cs="仿宋_GB2312"/>
          <w:bCs/>
          <w:color w:val="auto"/>
          <w:sz w:val="24"/>
          <w:szCs w:val="24"/>
          <w:highlight w:val="none"/>
          <w:lang w:eastAsia="zh-CN"/>
        </w:rPr>
        <w:t>中选人收到川南发电公司中选通知书的，应当在</w:t>
      </w:r>
      <w:r>
        <w:rPr>
          <w:rFonts w:hint="eastAsia" w:ascii="仿宋_GB2312" w:hAnsi="仿宋_GB2312" w:eastAsia="仿宋_GB2312" w:cs="仿宋_GB2312"/>
          <w:bCs/>
          <w:color w:val="auto"/>
          <w:sz w:val="24"/>
          <w:szCs w:val="24"/>
          <w:highlight w:val="none"/>
          <w:lang w:val="en-US" w:eastAsia="zh-CN"/>
        </w:rPr>
        <w:t>15</w:t>
      </w:r>
      <w:r>
        <w:rPr>
          <w:rFonts w:hint="eastAsia" w:ascii="仿宋_GB2312" w:hAnsi="仿宋_GB2312" w:eastAsia="仿宋_GB2312" w:cs="仿宋_GB2312"/>
          <w:bCs/>
          <w:color w:val="auto"/>
          <w:sz w:val="24"/>
          <w:szCs w:val="24"/>
          <w:highlight w:val="none"/>
          <w:lang w:eastAsia="zh-CN"/>
        </w:rPr>
        <w:t>日内与川南发电公司签订项目书面合同，且不得对项目合同实质性条款作出实质性修改，否则川南发电公司有权取消其中选资格，川南发电公司将根据项目情况和评审结果确定下一顺位报价人为中选人或重新组织项目采购。</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rPr>
    </w:pPr>
    <w:r>
      <w:rPr>
        <w:rFonts w:hint="eastAsia" w:ascii="宋体" w:hAnsi="宋体" w:eastAsia="宋体" w:cs="宋体"/>
        <w:szCs w:val="21"/>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ZWQzMjA2MGFhZDIyMTNkNzJkMTI5NTZmMTM3OWIifQ=="/>
  </w:docVars>
  <w:rsids>
    <w:rsidRoot w:val="769F5C02"/>
    <w:rsid w:val="05E522EE"/>
    <w:rsid w:val="06382740"/>
    <w:rsid w:val="08C27FA9"/>
    <w:rsid w:val="0D5A5D10"/>
    <w:rsid w:val="109212FD"/>
    <w:rsid w:val="11811E1A"/>
    <w:rsid w:val="1C093580"/>
    <w:rsid w:val="1DB24DC5"/>
    <w:rsid w:val="1F5749F8"/>
    <w:rsid w:val="201F6EE4"/>
    <w:rsid w:val="21854471"/>
    <w:rsid w:val="23FB7198"/>
    <w:rsid w:val="2BB327BE"/>
    <w:rsid w:val="31705AB0"/>
    <w:rsid w:val="334760AD"/>
    <w:rsid w:val="37651393"/>
    <w:rsid w:val="3A445A5E"/>
    <w:rsid w:val="3BBF40E9"/>
    <w:rsid w:val="3C7207B9"/>
    <w:rsid w:val="457C6599"/>
    <w:rsid w:val="4A0C39AB"/>
    <w:rsid w:val="4A5C3A92"/>
    <w:rsid w:val="4F7D2354"/>
    <w:rsid w:val="58C33BAC"/>
    <w:rsid w:val="65CC0515"/>
    <w:rsid w:val="66BD48AE"/>
    <w:rsid w:val="67296477"/>
    <w:rsid w:val="67313DEE"/>
    <w:rsid w:val="6D261CBD"/>
    <w:rsid w:val="72B322CC"/>
    <w:rsid w:val="769F5C02"/>
    <w:rsid w:val="773000B7"/>
    <w:rsid w:val="7AA02620"/>
    <w:rsid w:val="7ABF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2023-07-31T06:10:00Z</dcterms:created>
  <dc:creator>刘继行</dc:creator>
  <cp:lastModifiedBy>刘继行</cp:lastModifiedBy>
  <dcterms:modified xsi:type="dcterms:W3CDTF">2024-04-16T03:08:15Z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BA0D8376BCFE4D459751B3FB815BA0B2</vt:lpwstr>
  </property>
</Properties>
</file>